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0533" w14:textId="77777777" w:rsidR="00035A71" w:rsidRDefault="00035A71" w:rsidP="00035A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065E1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4065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65E1">
        <w:rPr>
          <w:rFonts w:ascii="Times New Roman" w:hAnsi="Times New Roman" w:cs="Times New Roman"/>
          <w:b/>
          <w:bCs/>
          <w:sz w:val="24"/>
          <w:szCs w:val="24"/>
        </w:rPr>
        <w:t>material</w:t>
      </w:r>
      <w:proofErr w:type="spellEnd"/>
    </w:p>
    <w:p w14:paraId="567513FB" w14:textId="77777777" w:rsidR="00035A71" w:rsidRDefault="00035A71" w:rsidP="00035A71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B10866" w14:textId="5B7D3E36" w:rsidR="00035A71" w:rsidRPr="00035A71" w:rsidRDefault="00035A71" w:rsidP="00035A71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5A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</w:t>
      </w:r>
      <w:bookmarkStart w:id="0" w:name="_Hlk171511187"/>
      <w:r w:rsidRPr="00035A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Strong impact of orally administered BCR4 defensin on aphid survival, embryo development and symbiotic cells in three </w:t>
      </w:r>
      <w:r w:rsidRPr="00035A71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Acyrthosiphon pisum</w:t>
      </w:r>
      <w:r w:rsidRPr="00035A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parthenogenetic lines</w:t>
      </w:r>
      <w:bookmarkEnd w:id="0"/>
    </w:p>
    <w:p w14:paraId="0E9C1FE1" w14:textId="77777777" w:rsidR="00035A71" w:rsidRPr="00035A71" w:rsidRDefault="00035A71" w:rsidP="00035A7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Hlk161066063"/>
    </w:p>
    <w:p w14:paraId="167FA0A8" w14:textId="77777777" w:rsidR="00035A71" w:rsidRPr="00035A71" w:rsidRDefault="00035A71" w:rsidP="00035A71">
      <w:pPr>
        <w:spacing w:line="480" w:lineRule="auto"/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</w:pPr>
      <w:bookmarkStart w:id="2" w:name="_Hlk171511107"/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Hugo Terrasson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Karen Gaget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Garance Lapetoule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Isabelle Rahioui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François Renoz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2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Sylvain Benhamou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Chrystèle Jouve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Catherine Sivignon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Gabrielle Duport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Vincent Aucagne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3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Jean-Christophe Simon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4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Mélanie Ribeiro Lopes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>, Federica Calevro</w:t>
      </w:r>
      <w:proofErr w:type="gramStart"/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1,#</w:t>
      </w:r>
      <w:proofErr w:type="gramEnd"/>
      <w:r w:rsidRPr="00035A7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and Pedro Da Silva</w:t>
      </w:r>
      <w:r w:rsidRPr="00035A71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1,#</w:t>
      </w:r>
    </w:p>
    <w:p w14:paraId="3942FD10" w14:textId="77777777" w:rsidR="00035A71" w:rsidRPr="00035A71" w:rsidRDefault="00035A71" w:rsidP="00035A71">
      <w:pPr>
        <w:spacing w:line="48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bookmarkEnd w:id="1"/>
    <w:bookmarkEnd w:id="2"/>
    <w:p w14:paraId="59F312D9" w14:textId="77777777" w:rsidR="00035A71" w:rsidRPr="00815B8C" w:rsidRDefault="00035A71" w:rsidP="00035A7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15B8C">
        <w:rPr>
          <w:rFonts w:ascii="Times New Roman" w:hAnsi="Times New Roman" w:cs="Times New Roman"/>
          <w:sz w:val="20"/>
          <w:szCs w:val="20"/>
        </w:rPr>
        <w:t xml:space="preserve">Affiliations : </w:t>
      </w:r>
    </w:p>
    <w:p w14:paraId="5D26E5F9" w14:textId="77777777" w:rsidR="00035A71" w:rsidRPr="00815B8C" w:rsidRDefault="00035A71" w:rsidP="00035A7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15B8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15B8C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815B8C">
        <w:rPr>
          <w:rFonts w:ascii="Times New Roman" w:hAnsi="Times New Roman" w:cs="Times New Roman"/>
          <w:sz w:val="20"/>
          <w:szCs w:val="20"/>
        </w:rPr>
        <w:t xml:space="preserve"> INSA Lyon, INRAE, BF2I, UMR203, 69621 Villeurbanne, France</w:t>
      </w:r>
    </w:p>
    <w:p w14:paraId="385164D0" w14:textId="77777777" w:rsidR="00035A71" w:rsidRPr="00035A71" w:rsidRDefault="00035A71" w:rsidP="00035A71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35A7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035A71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035A71">
        <w:rPr>
          <w:rFonts w:ascii="Times New Roman" w:hAnsi="Times New Roman" w:cs="Times New Roman"/>
          <w:sz w:val="20"/>
          <w:szCs w:val="20"/>
          <w:lang w:val="en-US"/>
        </w:rPr>
        <w:t>UCLouvain</w:t>
      </w:r>
      <w:proofErr w:type="spellEnd"/>
      <w:r w:rsidRPr="00035A71">
        <w:rPr>
          <w:rFonts w:ascii="Times New Roman" w:hAnsi="Times New Roman" w:cs="Times New Roman"/>
          <w:sz w:val="20"/>
          <w:szCs w:val="20"/>
          <w:lang w:val="en-US"/>
        </w:rPr>
        <w:t>, Biodiversity Research Centre, Earth and Life Institute, Louvain-la-</w:t>
      </w:r>
      <w:proofErr w:type="spellStart"/>
      <w:r w:rsidRPr="00035A71">
        <w:rPr>
          <w:rFonts w:ascii="Times New Roman" w:hAnsi="Times New Roman" w:cs="Times New Roman"/>
          <w:sz w:val="20"/>
          <w:szCs w:val="20"/>
          <w:lang w:val="en-US"/>
        </w:rPr>
        <w:t>Neuve</w:t>
      </w:r>
      <w:proofErr w:type="spellEnd"/>
      <w:r w:rsidRPr="00035A71">
        <w:rPr>
          <w:rFonts w:ascii="Times New Roman" w:hAnsi="Times New Roman" w:cs="Times New Roman"/>
          <w:sz w:val="20"/>
          <w:szCs w:val="20"/>
          <w:lang w:val="en-US"/>
        </w:rPr>
        <w:t>, Belgium</w:t>
      </w:r>
    </w:p>
    <w:p w14:paraId="259553DC" w14:textId="77777777" w:rsidR="00035A71" w:rsidRPr="003D58E3" w:rsidRDefault="00035A71" w:rsidP="00035A7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D58E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D58E3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3D58E3">
        <w:rPr>
          <w:rFonts w:ascii="Times New Roman" w:hAnsi="Times New Roman" w:cs="Times New Roman"/>
          <w:sz w:val="20"/>
          <w:szCs w:val="20"/>
        </w:rPr>
        <w:t xml:space="preserve"> </w:t>
      </w:r>
      <w:r w:rsidRPr="003D58E3">
        <w:rPr>
          <w:rFonts w:ascii="Times New Roman" w:hAnsi="Times New Roman" w:cs="Times New Roman"/>
          <w:bCs/>
          <w:sz w:val="20"/>
          <w:szCs w:val="20"/>
        </w:rPr>
        <w:t xml:space="preserve">Centre de Biophysique Moléculaire, CNRS UPR 4301, 45071 Orléans, </w:t>
      </w:r>
      <w:r>
        <w:rPr>
          <w:rFonts w:ascii="Times New Roman" w:hAnsi="Times New Roman" w:cs="Times New Roman"/>
          <w:bCs/>
          <w:sz w:val="20"/>
          <w:szCs w:val="20"/>
        </w:rPr>
        <w:t>France</w:t>
      </w:r>
    </w:p>
    <w:p w14:paraId="6CBEDFA8" w14:textId="77777777" w:rsidR="00035A71" w:rsidRPr="00815B8C" w:rsidRDefault="00035A71" w:rsidP="00035A7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D58E3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4 </w:t>
      </w:r>
      <w:r w:rsidRPr="003D58E3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Pr="003D58E3">
        <w:rPr>
          <w:rFonts w:ascii="Times New Roman" w:hAnsi="Times New Roman" w:cs="Times New Roman"/>
          <w:sz w:val="20"/>
          <w:szCs w:val="20"/>
        </w:rPr>
        <w:t>INRAE, UMR IGEPP, Institut Agro, Université de Rennes, Le Rheu, France</w:t>
      </w:r>
    </w:p>
    <w:p w14:paraId="53DF7964" w14:textId="3F40E53E" w:rsidR="00035A71" w:rsidRPr="00035A71" w:rsidRDefault="00035A71" w:rsidP="00035A71">
      <w:pPr>
        <w:spacing w:line="480" w:lineRule="auto"/>
        <w:rPr>
          <w:rFonts w:ascii="Times New Roman" w:hAnsi="Times New Roman" w:cs="Times New Roman"/>
          <w:color w:val="0000FF"/>
          <w:sz w:val="20"/>
          <w:szCs w:val="20"/>
          <w:u w:val="single"/>
          <w:lang w:val="en-US"/>
        </w:rPr>
      </w:pPr>
      <w:r w:rsidRPr="00035A71">
        <w:rPr>
          <w:rFonts w:ascii="Times New Roman" w:hAnsi="Times New Roman" w:cs="Times New Roman"/>
          <w:sz w:val="20"/>
          <w:szCs w:val="20"/>
          <w:lang w:val="en-US"/>
        </w:rPr>
        <w:t xml:space="preserve"># Corresponding authors: </w:t>
      </w:r>
      <w:r w:rsidRPr="00815B8C">
        <w:rPr>
          <w:rFonts w:ascii="Times New Roman" w:hAnsi="Times New Roman" w:cs="Times New Roman"/>
          <w:sz w:val="20"/>
          <w:szCs w:val="20"/>
          <w:lang w:val="en-GB"/>
        </w:rPr>
        <w:t>Federica Calevro</w:t>
      </w:r>
      <w:r w:rsidRPr="00815B8C">
        <w:rPr>
          <w:rFonts w:ascii="Times New Roman" w:hAnsi="Times New Roman" w:cs="Times New Roman"/>
          <w:b/>
          <w:sz w:val="20"/>
          <w:szCs w:val="20"/>
          <w:lang w:val="en-GB"/>
        </w:rPr>
        <w:t xml:space="preserve">, </w:t>
      </w:r>
      <w:r w:rsidRPr="00035A71">
        <w:rPr>
          <w:rFonts w:ascii="Times New Roman" w:hAnsi="Times New Roman" w:cs="Times New Roman"/>
          <w:sz w:val="20"/>
          <w:szCs w:val="20"/>
          <w:lang w:val="en-US"/>
        </w:rPr>
        <w:t xml:space="preserve">e-mail address: </w:t>
      </w:r>
      <w:hyperlink r:id="rId4" w:history="1">
        <w:r w:rsidRPr="00815B8C">
          <w:rPr>
            <w:rStyle w:val="Lienhypertexte"/>
            <w:rFonts w:ascii="Times New Roman" w:hAnsi="Times New Roman" w:cs="Times New Roman"/>
            <w:sz w:val="20"/>
            <w:szCs w:val="20"/>
            <w:lang w:val="en-GB"/>
          </w:rPr>
          <w:t>federica.calevro@inrae.fr</w:t>
        </w:r>
      </w:hyperlink>
      <w:r w:rsidRPr="00815B8C">
        <w:rPr>
          <w:rStyle w:val="Lienhypertexte"/>
          <w:rFonts w:ascii="Times New Roman" w:hAnsi="Times New Roman" w:cs="Times New Roman"/>
          <w:color w:val="auto"/>
          <w:sz w:val="20"/>
          <w:szCs w:val="20"/>
          <w:u w:val="none"/>
          <w:lang w:val="en-GB"/>
        </w:rPr>
        <w:t xml:space="preserve"> and </w:t>
      </w:r>
      <w:r w:rsidRPr="00035A71">
        <w:rPr>
          <w:rFonts w:ascii="Times New Roman" w:hAnsi="Times New Roman" w:cs="Times New Roman"/>
          <w:sz w:val="20"/>
          <w:szCs w:val="20"/>
          <w:lang w:val="en-US"/>
        </w:rPr>
        <w:t xml:space="preserve">Pedro Da Silva, e-mail address: </w:t>
      </w:r>
      <w:hyperlink r:id="rId5">
        <w:r w:rsidRPr="00035A71">
          <w:rPr>
            <w:rStyle w:val="Lienhypertexte"/>
            <w:rFonts w:ascii="Times New Roman" w:hAnsi="Times New Roman" w:cs="Times New Roman"/>
            <w:sz w:val="20"/>
            <w:szCs w:val="20"/>
            <w:lang w:val="en-US"/>
          </w:rPr>
          <w:t>pedro.da-silva@insa-lyon.fr</w:t>
        </w:r>
      </w:hyperlink>
    </w:p>
    <w:p w14:paraId="7822F023" w14:textId="77777777" w:rsidR="00035A71" w:rsidRPr="004065E1" w:rsidRDefault="00035A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FD0AC0" w14:textId="346834D4" w:rsidR="00A75311" w:rsidRPr="00CC6EF9" w:rsidRDefault="00A75311">
      <w:pPr>
        <w:rPr>
          <w:rFonts w:ascii="Times New Roman" w:hAnsi="Times New Roman" w:cs="Times New Roman"/>
          <w:sz w:val="20"/>
          <w:szCs w:val="20"/>
        </w:rPr>
      </w:pPr>
      <w:r w:rsidRPr="00CC6EF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F406A15" wp14:editId="3C195F42">
            <wp:extent cx="5760720" cy="428498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398D4" w14:textId="60A3EE2B" w:rsidR="00A75311" w:rsidRPr="00CC6EF9" w:rsidRDefault="00A75311" w:rsidP="00A7531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6EF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Fig. S1 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>Experimental design used for observations and phenotypic measurements of aphids after BCR4 ingestion</w:t>
      </w:r>
    </w:p>
    <w:p w14:paraId="1CBF784B" w14:textId="536578D3" w:rsidR="00A75311" w:rsidRPr="00CC6EF9" w:rsidRDefault="00A7531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6D92252" w14:textId="0EC1D766" w:rsidR="00A75311" w:rsidRPr="00CC6EF9" w:rsidRDefault="00A7531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6EF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E198E52" wp14:editId="69865DD4">
            <wp:extent cx="3438525" cy="50958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6776F" w14:textId="0BF4CC7A" w:rsidR="00A75311" w:rsidRPr="00CC6EF9" w:rsidRDefault="00A75311" w:rsidP="00A7531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3" w:name="_Hlk181182889"/>
      <w:r w:rsidRPr="00CC6EF9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 S2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 Symbiont identification by flow cytometry in </w:t>
      </w:r>
      <w:r w:rsidRPr="00CC6EF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Acyrthosiphon pisum 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>lines.</w:t>
      </w:r>
      <w:r w:rsidRPr="00CC6EF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>Cells identified as symbionts</w:t>
      </w:r>
      <w:r w:rsidRPr="00CC6EF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were represented on density plot (FSC-A/SSC-A), the grey gradient indicating increasing density of dots. The </w:t>
      </w:r>
      <w:r w:rsidRPr="00CC6EF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B. aphidicola 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population (red circle) is defined according to the parameters described by </w:t>
      </w:r>
      <w:proofErr w:type="spellStart"/>
      <w:r w:rsidRPr="00CC6EF9">
        <w:rPr>
          <w:rFonts w:ascii="Times New Roman" w:hAnsi="Times New Roman" w:cs="Times New Roman"/>
          <w:sz w:val="20"/>
          <w:szCs w:val="20"/>
          <w:lang w:val="en-US"/>
        </w:rPr>
        <w:t>Simonet</w:t>
      </w:r>
      <w:proofErr w:type="spellEnd"/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C6EF9">
        <w:rPr>
          <w:rFonts w:ascii="Times New Roman" w:hAnsi="Times New Roman" w:cs="Times New Roman"/>
          <w:i/>
          <w:iCs/>
          <w:sz w:val="20"/>
          <w:szCs w:val="20"/>
          <w:lang w:val="en-US"/>
        </w:rPr>
        <w:t>et al.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 (2016), while a second population (green circle) is observed only in YR2-</w:t>
      </w:r>
      <w:r w:rsidRPr="00CC6EF9">
        <w:rPr>
          <w:rFonts w:ascii="Times New Roman" w:hAnsi="Times New Roman" w:cs="Times New Roman"/>
          <w:i/>
          <w:iCs/>
          <w:sz w:val="20"/>
          <w:szCs w:val="20"/>
          <w:lang w:val="en-US"/>
        </w:rPr>
        <w:t>Ri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 lines and corresponds to the secondary symbiont </w:t>
      </w:r>
      <w:r w:rsidRPr="00CC6EF9">
        <w:rPr>
          <w:rFonts w:ascii="Times New Roman" w:hAnsi="Times New Roman" w:cs="Times New Roman"/>
          <w:i/>
          <w:iCs/>
          <w:sz w:val="20"/>
          <w:szCs w:val="20"/>
          <w:lang w:val="en-US"/>
        </w:rPr>
        <w:t>R. insecticola</w:t>
      </w:r>
    </w:p>
    <w:bookmarkEnd w:id="3"/>
    <w:p w14:paraId="466C8623" w14:textId="0D3DB4B4" w:rsidR="00A75311" w:rsidRPr="00CC6EF9" w:rsidRDefault="0034787D" w:rsidP="00A7531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6EF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FAF2413" wp14:editId="335E6F27">
            <wp:extent cx="5760720" cy="4578985"/>
            <wp:effectExtent l="19050" t="19050" r="11430" b="1206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78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3B0EF3" w14:textId="57C80053" w:rsidR="00A75311" w:rsidRPr="00CC6EF9" w:rsidRDefault="00A75311" w:rsidP="00A7531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4" w:name="_Hlk181182896"/>
      <w:r w:rsidRPr="00CC6EF9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 S3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C6EF9">
        <w:rPr>
          <w:rFonts w:ascii="Times New Roman" w:eastAsia="Calibri" w:hAnsi="Times New Roman" w:cs="Times New Roman"/>
          <w:color w:val="000000"/>
          <w:kern w:val="24"/>
          <w:sz w:val="20"/>
          <w:szCs w:val="20"/>
          <w:lang w:val="en-US"/>
        </w:rPr>
        <w:t>Survival curves of aphid fed on AP3 only (negative control, grey lines) or on AP3 containing 1mg/ml of U11 peptide (red lines) during seven days. Left, central and right panels correspond to survival curves of LL01 line, YR2-amp line and YR2</w:t>
      </w:r>
      <w:r w:rsidRPr="00CC6EF9">
        <w:rPr>
          <w:rFonts w:ascii="Times New Roman" w:eastAsia="Calibri" w:hAnsi="Times New Roman" w:cs="Times New Roman"/>
          <w:i/>
          <w:color w:val="000000"/>
          <w:kern w:val="24"/>
          <w:sz w:val="20"/>
          <w:szCs w:val="20"/>
          <w:lang w:val="en-US"/>
        </w:rPr>
        <w:t>-Ri</w:t>
      </w:r>
      <w:r w:rsidRPr="00CC6EF9">
        <w:rPr>
          <w:rFonts w:ascii="Times New Roman" w:eastAsia="Calibri" w:hAnsi="Times New Roman" w:cs="Times New Roman"/>
          <w:color w:val="000000"/>
          <w:kern w:val="24"/>
          <w:sz w:val="20"/>
          <w:szCs w:val="20"/>
          <w:lang w:val="en-US"/>
        </w:rPr>
        <w:t xml:space="preserve"> line, respectively. n=30 for each BCR4-concentration group for each line</w:t>
      </w:r>
    </w:p>
    <w:bookmarkEnd w:id="4"/>
    <w:p w14:paraId="3D712877" w14:textId="2450C2B4" w:rsidR="00A75311" w:rsidRPr="00CC6EF9" w:rsidRDefault="00FB4E2B" w:rsidP="00FB4E2B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2651448E" wp14:editId="09051DB1">
            <wp:extent cx="5760720" cy="5708650"/>
            <wp:effectExtent l="0" t="0" r="0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0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1A01C" w14:textId="6597DE64" w:rsidR="002A065C" w:rsidRDefault="002A065C" w:rsidP="002C17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5" w:name="_Hlk181182907"/>
      <w:r w:rsidRPr="00CC6EF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Fig. S4 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Dissection </w:t>
      </w:r>
      <w:r w:rsidR="00FA2404"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of 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digestif tracts </w:t>
      </w:r>
      <w:r w:rsidR="0034086F" w:rsidRPr="00CC6EF9">
        <w:rPr>
          <w:rFonts w:ascii="Times New Roman" w:hAnsi="Times New Roman" w:cs="Times New Roman"/>
          <w:sz w:val="20"/>
          <w:szCs w:val="20"/>
          <w:lang w:val="en-US"/>
        </w:rPr>
        <w:t>from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 three </w:t>
      </w:r>
      <w:r w:rsidRPr="00CC6EF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Acyrthosiphon pisum 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>lines</w:t>
      </w:r>
      <w:r w:rsidRPr="00CC6EF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>after ingestion of AP3 (control, left panels) or AP3 complemented with 1000 µg/ml of BCR4 peptide (right panels) for seven days.</w:t>
      </w:r>
      <w:r w:rsidR="00CC6EF9"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C6EF9" w:rsidRPr="00CC6EF9">
        <w:rPr>
          <w:rFonts w:ascii="Times New Roman" w:hAnsi="Times New Roman" w:cs="Times New Roman"/>
          <w:sz w:val="20"/>
          <w:szCs w:val="20"/>
          <w:lang w:val="en-US"/>
        </w:rPr>
        <w:t>st</w:t>
      </w:r>
      <w:proofErr w:type="spellEnd"/>
      <w:r w:rsidR="00CC6EF9"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proofErr w:type="spellStart"/>
      <w:r w:rsidR="00CC6EF9" w:rsidRPr="00CC6EF9">
        <w:rPr>
          <w:rFonts w:ascii="Times New Roman" w:hAnsi="Times New Roman" w:cs="Times New Roman"/>
          <w:sz w:val="20"/>
          <w:szCs w:val="20"/>
          <w:lang w:val="en-US"/>
        </w:rPr>
        <w:t>stomac</w:t>
      </w:r>
      <w:proofErr w:type="spellEnd"/>
      <w:r w:rsidR="00CC6EF9" w:rsidRPr="00CC6EF9">
        <w:rPr>
          <w:rFonts w:ascii="Times New Roman" w:hAnsi="Times New Roman" w:cs="Times New Roman"/>
          <w:sz w:val="20"/>
          <w:szCs w:val="20"/>
          <w:lang w:val="en-US"/>
        </w:rPr>
        <w:t>; r = rectum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CC6EF9">
        <w:rPr>
          <w:rFonts w:ascii="Times New Roman" w:hAnsi="Times New Roman" w:cs="Times New Roman"/>
          <w:sz w:val="20"/>
          <w:szCs w:val="20"/>
        </w:rPr>
        <w:t>Scalebar</w:t>
      </w:r>
      <w:proofErr w:type="spellEnd"/>
      <w:r w:rsidRPr="00CC6EF9">
        <w:rPr>
          <w:rFonts w:ascii="Times New Roman" w:hAnsi="Times New Roman" w:cs="Times New Roman"/>
          <w:sz w:val="20"/>
          <w:szCs w:val="20"/>
        </w:rPr>
        <w:t xml:space="preserve"> = </w:t>
      </w:r>
      <w:r w:rsidR="00C00C5D" w:rsidRPr="00CC6EF9">
        <w:rPr>
          <w:rFonts w:ascii="Times New Roman" w:hAnsi="Times New Roman" w:cs="Times New Roman"/>
          <w:sz w:val="20"/>
          <w:szCs w:val="20"/>
        </w:rPr>
        <w:t>200 µm</w:t>
      </w:r>
    </w:p>
    <w:bookmarkEnd w:id="5"/>
    <w:p w14:paraId="0E3B8397" w14:textId="1C33E27E" w:rsidR="00CC6EF9" w:rsidRDefault="00CC6EF9" w:rsidP="002C17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D84BCD1" w14:textId="384C4484" w:rsidR="00CC6EF9" w:rsidRDefault="00CC6EF9" w:rsidP="002C17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0ED4455" w14:textId="09635C8E" w:rsidR="00CC6EF9" w:rsidRDefault="00CC6EF9" w:rsidP="002C17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9497515" w14:textId="221D78FA" w:rsidR="00CC6EF9" w:rsidRDefault="00CC6EF9" w:rsidP="002C17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FB6DA32" w14:textId="04DDA608" w:rsidR="00CC6EF9" w:rsidRDefault="00CC6EF9" w:rsidP="002C17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pPr w:leftFromText="141" w:rightFromText="141" w:horzAnchor="margin" w:tblpXSpec="center" w:tblpY="69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1394"/>
        <w:gridCol w:w="1490"/>
        <w:gridCol w:w="3272"/>
        <w:gridCol w:w="1173"/>
        <w:gridCol w:w="1570"/>
      </w:tblGrid>
      <w:tr w:rsidR="004065E1" w:rsidRPr="00CC6EF9" w14:paraId="1AE01F98" w14:textId="77777777" w:rsidTr="004065E1">
        <w:tc>
          <w:tcPr>
            <w:tcW w:w="1874" w:type="dxa"/>
            <w:tcBorders>
              <w:bottom w:val="single" w:sz="4" w:space="0" w:color="auto"/>
            </w:tcBorders>
          </w:tcPr>
          <w:p w14:paraId="4D4657C4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Target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1EA1E175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 xml:space="preserve">Organisme 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43530485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3272" w:type="dxa"/>
            <w:tcBorders>
              <w:bottom w:val="single" w:sz="4" w:space="0" w:color="auto"/>
            </w:tcBorders>
          </w:tcPr>
          <w:p w14:paraId="62E132F0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Sequence</w:t>
            </w:r>
            <w:proofErr w:type="spellEnd"/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, 5′–3′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14:paraId="746C0C1B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Orientation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70196FBA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</w:tr>
      <w:tr w:rsidR="004065E1" w:rsidRPr="00035A71" w14:paraId="6EAB9431" w14:textId="77777777" w:rsidTr="00CC6EF9">
        <w:trPr>
          <w:trHeight w:val="533"/>
        </w:trPr>
        <w:tc>
          <w:tcPr>
            <w:tcW w:w="10773" w:type="dxa"/>
            <w:gridSpan w:val="6"/>
            <w:tcBorders>
              <w:top w:val="single" w:sz="4" w:space="0" w:color="auto"/>
            </w:tcBorders>
          </w:tcPr>
          <w:p w14:paraId="2328C8C9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CC6EF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AlexaFluor</w:t>
            </w:r>
            <w:proofErr w:type="spellEnd"/>
            <w:r w:rsidRPr="00CC6EF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-labeled probes for fluorescent in situ hybridization targeting B. aphidicola and </w:t>
            </w:r>
            <w:proofErr w:type="spellStart"/>
            <w:proofErr w:type="gramStart"/>
            <w:r w:rsidRPr="00CC6EF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R.insecticola</w:t>
            </w:r>
            <w:proofErr w:type="spellEnd"/>
            <w:proofErr w:type="gramEnd"/>
            <w:r w:rsidRPr="00CC6EF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16S rRNA :</w:t>
            </w:r>
          </w:p>
        </w:tc>
      </w:tr>
      <w:tr w:rsidR="004065E1" w:rsidRPr="00CC6EF9" w14:paraId="49B55E5B" w14:textId="77777777" w:rsidTr="004065E1">
        <w:tc>
          <w:tcPr>
            <w:tcW w:w="1874" w:type="dxa"/>
          </w:tcPr>
          <w:p w14:paraId="47611F73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 xml:space="preserve">16S </w:t>
            </w:r>
            <w:proofErr w:type="spellStart"/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1394" w:type="dxa"/>
          </w:tcPr>
          <w:p w14:paraId="74005E29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CC6E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B.aphidicola</w:t>
            </w:r>
            <w:proofErr w:type="spellEnd"/>
            <w:proofErr w:type="gramEnd"/>
          </w:p>
        </w:tc>
        <w:tc>
          <w:tcPr>
            <w:tcW w:w="1490" w:type="dxa"/>
          </w:tcPr>
          <w:p w14:paraId="4D292D80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Alexa488-Buch</w:t>
            </w:r>
          </w:p>
        </w:tc>
        <w:tc>
          <w:tcPr>
            <w:tcW w:w="3272" w:type="dxa"/>
          </w:tcPr>
          <w:p w14:paraId="3FC362D7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CACCTAGAATTCTACCTCCCTCT</w:t>
            </w:r>
          </w:p>
        </w:tc>
        <w:tc>
          <w:tcPr>
            <w:tcW w:w="1173" w:type="dxa"/>
          </w:tcPr>
          <w:p w14:paraId="45B395B1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Antisense</w:t>
            </w:r>
            <w:proofErr w:type="spellEnd"/>
          </w:p>
        </w:tc>
        <w:tc>
          <w:tcPr>
            <w:tcW w:w="1570" w:type="dxa"/>
          </w:tcPr>
          <w:p w14:paraId="15827B00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 xml:space="preserve">This </w:t>
            </w:r>
            <w:proofErr w:type="spellStart"/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</w:tr>
      <w:tr w:rsidR="004065E1" w:rsidRPr="00CC6EF9" w14:paraId="05D6C0A6" w14:textId="77777777" w:rsidTr="004065E1">
        <w:trPr>
          <w:trHeight w:val="441"/>
        </w:trPr>
        <w:tc>
          <w:tcPr>
            <w:tcW w:w="1874" w:type="dxa"/>
          </w:tcPr>
          <w:p w14:paraId="4DF19B1B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 xml:space="preserve">16S </w:t>
            </w:r>
            <w:proofErr w:type="spellStart"/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1394" w:type="dxa"/>
          </w:tcPr>
          <w:p w14:paraId="48D830AD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CC6E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R.insecticola</w:t>
            </w:r>
            <w:proofErr w:type="spellEnd"/>
            <w:proofErr w:type="gramEnd"/>
          </w:p>
        </w:tc>
        <w:tc>
          <w:tcPr>
            <w:tcW w:w="1490" w:type="dxa"/>
          </w:tcPr>
          <w:p w14:paraId="28D03CD5" w14:textId="77777777" w:rsidR="004065E1" w:rsidRPr="00CC6EF9" w:rsidRDefault="004065E1" w:rsidP="00CC6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Alexa594-Reg</w:t>
            </w:r>
          </w:p>
        </w:tc>
        <w:tc>
          <w:tcPr>
            <w:tcW w:w="3272" w:type="dxa"/>
          </w:tcPr>
          <w:p w14:paraId="57BA8501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GTAGCAAGCTACTCCCCGAT</w:t>
            </w:r>
          </w:p>
        </w:tc>
        <w:tc>
          <w:tcPr>
            <w:tcW w:w="1173" w:type="dxa"/>
          </w:tcPr>
          <w:p w14:paraId="298D5819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Antisense</w:t>
            </w:r>
            <w:proofErr w:type="spellEnd"/>
          </w:p>
        </w:tc>
        <w:tc>
          <w:tcPr>
            <w:tcW w:w="1570" w:type="dxa"/>
          </w:tcPr>
          <w:p w14:paraId="2E797DAA" w14:textId="77777777" w:rsidR="004065E1" w:rsidRPr="00CC6EF9" w:rsidRDefault="004065E1" w:rsidP="00CC6E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F9">
              <w:rPr>
                <w:rFonts w:ascii="Times New Roman" w:hAnsi="Times New Roman" w:cs="Times New Roman"/>
                <w:sz w:val="20"/>
                <w:szCs w:val="20"/>
              </w:rPr>
              <w:t xml:space="preserve">This </w:t>
            </w:r>
            <w:proofErr w:type="spellStart"/>
            <w:r w:rsidRPr="00CC6EF9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</w:tr>
    </w:tbl>
    <w:p w14:paraId="618F012D" w14:textId="4599062E" w:rsidR="00CC6EF9" w:rsidRPr="00CC6EF9" w:rsidRDefault="00CC6EF9" w:rsidP="00CC6EF9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6" w:name="_Hlk181182914"/>
      <w:r w:rsidRPr="00CC6EF9">
        <w:rPr>
          <w:rFonts w:ascii="Times New Roman" w:hAnsi="Times New Roman" w:cs="Times New Roman"/>
          <w:sz w:val="20"/>
          <w:szCs w:val="20"/>
          <w:lang w:val="en-US"/>
        </w:rPr>
        <w:t>Table S</w:t>
      </w:r>
      <w:r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CC6EF9">
        <w:rPr>
          <w:rFonts w:ascii="Times New Roman" w:hAnsi="Times New Roman" w:cs="Times New Roman"/>
          <w:sz w:val="20"/>
          <w:szCs w:val="20"/>
          <w:lang w:val="en-US"/>
        </w:rPr>
        <w:t>. Oligonucleotides used in this study</w:t>
      </w:r>
    </w:p>
    <w:bookmarkEnd w:id="6"/>
    <w:p w14:paraId="463729AB" w14:textId="77777777" w:rsidR="00CC6EF9" w:rsidRPr="00CC6EF9" w:rsidRDefault="00CC6EF9" w:rsidP="002C17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888118F" w14:textId="459BDF44" w:rsidR="002C17C6" w:rsidRPr="00CC6EF9" w:rsidRDefault="002C17C6" w:rsidP="002C17C6">
      <w:pPr>
        <w:spacing w:line="48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sectPr w:rsidR="002C17C6" w:rsidRPr="00CC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11"/>
    <w:rsid w:val="00035A71"/>
    <w:rsid w:val="002A065C"/>
    <w:rsid w:val="002C17C6"/>
    <w:rsid w:val="0034086F"/>
    <w:rsid w:val="0034787D"/>
    <w:rsid w:val="004065E1"/>
    <w:rsid w:val="00607D11"/>
    <w:rsid w:val="006A4E88"/>
    <w:rsid w:val="006C4C9B"/>
    <w:rsid w:val="007B7797"/>
    <w:rsid w:val="008A32FD"/>
    <w:rsid w:val="00A75311"/>
    <w:rsid w:val="00C00C5D"/>
    <w:rsid w:val="00C65728"/>
    <w:rsid w:val="00CC6EF9"/>
    <w:rsid w:val="00FA2404"/>
    <w:rsid w:val="00FB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46FA"/>
  <w15:chartTrackingRefBased/>
  <w15:docId w15:val="{7056B62E-7EB5-4055-BC51-E1D3D1B0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E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C6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35A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5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pedro.da-silva@insa-lyon.fr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federica.calevro@inrae.fr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eme Word">
  <a:themeElements>
    <a:clrScheme name="INSA V3">
      <a:dk1>
        <a:srgbClr val="000000"/>
      </a:dk1>
      <a:lt1>
        <a:srgbClr val="FFFFFF"/>
      </a:lt1>
      <a:dk2>
        <a:srgbClr val="221927"/>
      </a:dk2>
      <a:lt2>
        <a:srgbClr val="E7E6E6"/>
      </a:lt2>
      <a:accent1>
        <a:srgbClr val="F5ADAA"/>
      </a:accent1>
      <a:accent2>
        <a:srgbClr val="E31B17"/>
      </a:accent2>
      <a:accent3>
        <a:srgbClr val="59142A"/>
      </a:accent3>
      <a:accent4>
        <a:srgbClr val="F69F1D"/>
      </a:accent4>
      <a:accent5>
        <a:srgbClr val="F8F0EC"/>
      </a:accent5>
      <a:accent6>
        <a:srgbClr val="5F5E5E"/>
      </a:accent6>
      <a:hlink>
        <a:srgbClr val="E31B17"/>
      </a:hlink>
      <a:folHlink>
        <a:srgbClr val="8D1D24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Terrasson</dc:creator>
  <cp:keywords/>
  <dc:description/>
  <cp:lastModifiedBy>Hugo Terrasson</cp:lastModifiedBy>
  <cp:revision>13</cp:revision>
  <dcterms:created xsi:type="dcterms:W3CDTF">2024-10-02T12:42:00Z</dcterms:created>
  <dcterms:modified xsi:type="dcterms:W3CDTF">2024-10-30T15:34:00Z</dcterms:modified>
</cp:coreProperties>
</file>