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706C45" w14:textId="77777777" w:rsidR="00611977" w:rsidRDefault="00611977" w:rsidP="0061197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Supplementary figures</w:t>
      </w:r>
    </w:p>
    <w:p w14:paraId="26F661D1" w14:textId="77777777" w:rsidR="00611977" w:rsidRDefault="00611977" w:rsidP="0061197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Figure S1</w:t>
      </w:r>
    </w:p>
    <w:p w14:paraId="55136518" w14:textId="77777777" w:rsidR="00611977" w:rsidRDefault="00611977" w:rsidP="0061197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D606AF">
        <w:rPr>
          <w:rFonts w:asciiTheme="majorBidi" w:hAnsiTheme="majorBidi" w:cstheme="majorBidi"/>
          <w:bCs/>
          <w:color w:val="000000" w:themeColor="text1"/>
        </w:rPr>
        <w:t xml:space="preserve">Gut microbiota analysis of </w:t>
      </w:r>
      <w:r>
        <w:rPr>
          <w:rFonts w:asciiTheme="majorBidi" w:hAnsiTheme="majorBidi" w:cstheme="majorBidi"/>
          <w:bCs/>
          <w:color w:val="000000" w:themeColor="text1"/>
        </w:rPr>
        <w:t xml:space="preserve">the </w:t>
      </w:r>
      <w:r>
        <w:rPr>
          <w:rFonts w:asciiTheme="majorBidi" w:hAnsiTheme="majorBidi" w:cstheme="majorBidi" w:hint="eastAsia"/>
          <w:bCs/>
          <w:color w:val="000000" w:themeColor="text1"/>
        </w:rPr>
        <w:t xml:space="preserve">control and </w:t>
      </w:r>
      <w:r>
        <w:rPr>
          <w:rFonts w:asciiTheme="majorBidi" w:hAnsiTheme="majorBidi" w:cstheme="majorBidi"/>
          <w:bCs/>
          <w:color w:val="000000" w:themeColor="text1"/>
        </w:rPr>
        <w:t>a</w:t>
      </w:r>
      <w:r>
        <w:rPr>
          <w:rFonts w:asciiTheme="majorBidi" w:hAnsiTheme="majorBidi" w:cstheme="majorBidi" w:hint="eastAsia"/>
          <w:bCs/>
          <w:color w:val="000000" w:themeColor="text1"/>
        </w:rPr>
        <w:t xml:space="preserve">nosmic </w:t>
      </w:r>
      <w:r w:rsidRPr="00D606AF">
        <w:rPr>
          <w:rFonts w:asciiTheme="majorBidi" w:hAnsiTheme="majorBidi" w:cstheme="majorBidi"/>
          <w:bCs/>
          <w:color w:val="000000" w:themeColor="text1"/>
        </w:rPr>
        <w:t>groups.</w:t>
      </w:r>
      <w:r w:rsidRPr="00D606AF">
        <w:rPr>
          <w:rFonts w:ascii="Times New Roman" w:hAnsi="Times New Roman"/>
          <w:color w:val="000000" w:themeColor="text1"/>
        </w:rPr>
        <w:t xml:space="preserve"> Alpha rarefaction plot of </w:t>
      </w:r>
      <w:r>
        <w:rPr>
          <w:rFonts w:ascii="Times New Roman" w:hAnsi="Times New Roman" w:hint="eastAsia"/>
          <w:color w:val="000000" w:themeColor="text1"/>
        </w:rPr>
        <w:t>PD whole tree</w:t>
      </w:r>
      <w:r w:rsidRPr="00D606AF">
        <w:rPr>
          <w:rFonts w:ascii="Times New Roman" w:hAnsi="Times New Roman"/>
          <w:color w:val="000000" w:themeColor="text1"/>
        </w:rPr>
        <w:t xml:space="preserve"> and </w:t>
      </w:r>
      <w:r>
        <w:rPr>
          <w:rFonts w:ascii="Times New Roman" w:hAnsi="Times New Roman" w:hint="eastAsia"/>
          <w:color w:val="000000" w:themeColor="text1"/>
        </w:rPr>
        <w:t>ACE</w:t>
      </w:r>
      <w:r w:rsidRPr="00D606AF">
        <w:rPr>
          <w:rFonts w:ascii="Times New Roman" w:hAnsi="Times New Roman"/>
          <w:color w:val="000000" w:themeColor="text1"/>
        </w:rPr>
        <w:t xml:space="preserve"> (A, B); Rank Abundance analysis curve (C); and Specaccum species accumulation curve (D).</w:t>
      </w:r>
    </w:p>
    <w:p w14:paraId="641A1F36" w14:textId="77777777" w:rsidR="00611977" w:rsidRDefault="00611977" w:rsidP="0061197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7D82B182" wp14:editId="19E0B09B">
            <wp:extent cx="5274310" cy="3914775"/>
            <wp:effectExtent l="0" t="0" r="0" b="0"/>
            <wp:docPr id="4643583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35830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</w:rPr>
        <w:t xml:space="preserve"> </w:t>
      </w:r>
    </w:p>
    <w:p w14:paraId="592C3E1F" w14:textId="77777777" w:rsidR="00611977" w:rsidRDefault="00611977" w:rsidP="0061197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11580D7F" w14:textId="77777777" w:rsidR="00611977" w:rsidRDefault="00611977" w:rsidP="0061197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A0A79A1" w14:textId="77777777" w:rsidR="00611977" w:rsidRDefault="00611977" w:rsidP="0061197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lastRenderedPageBreak/>
        <w:t>Figure S2</w:t>
      </w:r>
    </w:p>
    <w:p w14:paraId="7EE9140A" w14:textId="77777777" w:rsidR="00611977" w:rsidRDefault="00611977" w:rsidP="0061197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D606AF">
        <w:rPr>
          <w:rFonts w:ascii="Times New Roman" w:hAnsi="Times New Roman" w:cs="Times New Roman"/>
          <w:color w:val="000000" w:themeColor="text1"/>
        </w:rPr>
        <w:t xml:space="preserve">PCoA based on the Bray–Curtis distance matrix of the </w:t>
      </w:r>
      <w:r>
        <w:rPr>
          <w:rFonts w:ascii="Times New Roman" w:hAnsi="Times New Roman" w:cs="Times New Roman"/>
          <w:color w:val="000000" w:themeColor="text1"/>
        </w:rPr>
        <w:t xml:space="preserve">mouse </w:t>
      </w:r>
      <w:r w:rsidRPr="00D606AF">
        <w:rPr>
          <w:rFonts w:ascii="Times New Roman" w:hAnsi="Times New Roman" w:cs="Times New Roman"/>
          <w:color w:val="000000" w:themeColor="text1"/>
        </w:rPr>
        <w:t xml:space="preserve">gut microbiota. </w:t>
      </w:r>
      <w:r>
        <w:rPr>
          <w:rFonts w:ascii="Times New Roman" w:hAnsi="Times New Roman" w:cs="Times New Roman" w:hint="eastAsia"/>
          <w:color w:val="000000" w:themeColor="text1"/>
        </w:rPr>
        <w:t>Control and anosmic</w:t>
      </w:r>
      <w:r w:rsidRPr="00D606AF">
        <w:rPr>
          <w:rFonts w:ascii="Times New Roman" w:hAnsi="Times New Roman" w:cs="Times New Roman"/>
          <w:color w:val="000000" w:themeColor="text1"/>
        </w:rPr>
        <w:t xml:space="preserve"> groups (A); </w:t>
      </w:r>
      <w:r>
        <w:rPr>
          <w:rFonts w:ascii="Times New Roman" w:hAnsi="Times New Roman" w:cs="Times New Roman" w:hint="eastAsia"/>
          <w:color w:val="000000" w:themeColor="text1"/>
        </w:rPr>
        <w:t>A-FMT and C-FMT</w:t>
      </w:r>
      <w:r w:rsidRPr="00D606AF">
        <w:rPr>
          <w:rFonts w:ascii="Times New Roman" w:hAnsi="Times New Roman" w:cs="Times New Roman"/>
          <w:color w:val="000000" w:themeColor="text1"/>
        </w:rPr>
        <w:t xml:space="preserve"> groups (B)</w:t>
      </w:r>
      <w:r>
        <w:rPr>
          <w:rFonts w:ascii="Times New Roman" w:hAnsi="Times New Roman" w:cs="Times New Roman" w:hint="eastAsia"/>
          <w:color w:val="000000" w:themeColor="text1"/>
        </w:rPr>
        <w:t>.</w:t>
      </w:r>
    </w:p>
    <w:p w14:paraId="4EB2BBE4" w14:textId="77777777" w:rsidR="00611977" w:rsidRPr="00F86240" w:rsidRDefault="00611977" w:rsidP="0061197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5BE3DED5" wp14:editId="64CA6399">
            <wp:extent cx="5274310" cy="2447925"/>
            <wp:effectExtent l="0" t="0" r="0" b="0"/>
            <wp:docPr id="1511512267" name="图片 1" descr="A comparison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512267" name="图片 1" descr="A comparison of a diagram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F0833" w14:textId="77777777" w:rsidR="00611977" w:rsidRDefault="00611977" w:rsidP="0061197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3C4A555C" w14:textId="77777777" w:rsidR="00611977" w:rsidRDefault="00611977" w:rsidP="0061197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lastRenderedPageBreak/>
        <w:t>Figure S</w:t>
      </w:r>
      <w:r>
        <w:rPr>
          <w:rFonts w:ascii="Times New Roman" w:hAnsi="Times New Roman" w:cs="Times New Roman"/>
          <w:b/>
          <w:bCs/>
        </w:rPr>
        <w:t>3</w:t>
      </w:r>
    </w:p>
    <w:p w14:paraId="0AB9732E" w14:textId="77777777" w:rsidR="00611977" w:rsidRDefault="00611977" w:rsidP="0061197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D606AF">
        <w:rPr>
          <w:rFonts w:ascii="Times New Roman" w:hAnsi="Times New Roman" w:cs="Times New Roman"/>
          <w:bCs/>
          <w:color w:val="000000" w:themeColor="text1"/>
        </w:rPr>
        <w:t xml:space="preserve">Pep-Quant library characteristics of </w:t>
      </w:r>
      <w:r>
        <w:rPr>
          <w:rFonts w:ascii="Times New Roman" w:hAnsi="Times New Roman" w:cs="Times New Roman"/>
          <w:bCs/>
          <w:color w:val="000000" w:themeColor="text1"/>
        </w:rPr>
        <w:t>olfactory bulbs</w:t>
      </w:r>
      <w:r w:rsidRPr="00D606AF">
        <w:rPr>
          <w:rFonts w:ascii="Times New Roman" w:hAnsi="Times New Roman" w:cs="Times New Roman"/>
          <w:bCs/>
          <w:color w:val="000000" w:themeColor="text1"/>
        </w:rPr>
        <w:t>. Bar graph showing distribution of identified peptides and proteins</w:t>
      </w:r>
      <w:r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D606AF">
        <w:rPr>
          <w:rFonts w:ascii="Times New Roman" w:hAnsi="Times New Roman" w:cs="Times New Roman"/>
          <w:bCs/>
          <w:color w:val="000000" w:themeColor="text1"/>
        </w:rPr>
        <w:t>(A), molecular weight of proteins (B), protein length</w:t>
      </w:r>
      <w:r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D606AF">
        <w:rPr>
          <w:rFonts w:ascii="Times New Roman" w:hAnsi="Times New Roman" w:cs="Times New Roman"/>
          <w:bCs/>
          <w:color w:val="000000" w:themeColor="text1"/>
        </w:rPr>
        <w:t>(C), proteome sequence coverage (D), peptide charge (E), and Pearson correlation coefficient (F).</w:t>
      </w:r>
    </w:p>
    <w:p w14:paraId="07846D80" w14:textId="77777777" w:rsidR="00611977" w:rsidRDefault="00611977" w:rsidP="00611977">
      <w:pPr>
        <w:rPr>
          <w:rFonts w:ascii="Times New Roman" w:hAnsi="Times New Roman" w:cs="Times New Roman"/>
          <w:b/>
          <w:bCs/>
        </w:rPr>
      </w:pPr>
      <w:r w:rsidRPr="00C33929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44BDF29" wp14:editId="0DBCFB5E">
            <wp:extent cx="5274310" cy="28727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531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br w:type="page"/>
      </w:r>
    </w:p>
    <w:p w14:paraId="7E698D68" w14:textId="77777777" w:rsidR="00611977" w:rsidRDefault="00611977" w:rsidP="0061197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lastRenderedPageBreak/>
        <w:t>Figure S</w:t>
      </w:r>
      <w:r>
        <w:rPr>
          <w:rFonts w:ascii="Times New Roman" w:hAnsi="Times New Roman" w:cs="Times New Roman"/>
          <w:b/>
          <w:bCs/>
        </w:rPr>
        <w:t>4</w:t>
      </w:r>
    </w:p>
    <w:p w14:paraId="3262BAAE" w14:textId="77777777" w:rsidR="00611977" w:rsidRDefault="00611977" w:rsidP="0061197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D606AF">
        <w:rPr>
          <w:rFonts w:ascii="Times New Roman" w:hAnsi="Times New Roman" w:cs="Times New Roman"/>
          <w:bCs/>
          <w:color w:val="000000" w:themeColor="text1"/>
        </w:rPr>
        <w:t xml:space="preserve">Pep-Quant library characteristics of </w:t>
      </w:r>
      <w:r>
        <w:rPr>
          <w:rFonts w:ascii="Times New Roman" w:hAnsi="Times New Roman" w:cs="Times New Roman"/>
          <w:bCs/>
          <w:color w:val="000000" w:themeColor="text1"/>
        </w:rPr>
        <w:t>mouse</w:t>
      </w:r>
      <w:r w:rsidRPr="00D606AF">
        <w:rPr>
          <w:rFonts w:ascii="Times New Roman" w:hAnsi="Times New Roman" w:cs="Times New Roman"/>
          <w:bCs/>
          <w:color w:val="000000" w:themeColor="text1"/>
        </w:rPr>
        <w:t xml:space="preserve"> hippocampus. Bar graph showing distribution of identified peptides and proteins</w:t>
      </w:r>
      <w:r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D606AF">
        <w:rPr>
          <w:rFonts w:ascii="Times New Roman" w:hAnsi="Times New Roman" w:cs="Times New Roman"/>
          <w:bCs/>
          <w:color w:val="000000" w:themeColor="text1"/>
        </w:rPr>
        <w:t>(A), molecular weight of proteins (B), protein length</w:t>
      </w:r>
      <w:r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D606AF">
        <w:rPr>
          <w:rFonts w:ascii="Times New Roman" w:hAnsi="Times New Roman" w:cs="Times New Roman"/>
          <w:bCs/>
          <w:color w:val="000000" w:themeColor="text1"/>
        </w:rPr>
        <w:t>(C), proteome sequence coverage (D), peptide charge (E), and Pearson correlation coefficient (F).</w:t>
      </w:r>
    </w:p>
    <w:p w14:paraId="10A06E45" w14:textId="77777777" w:rsidR="00611977" w:rsidRDefault="00611977" w:rsidP="0061197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60405F7" wp14:editId="03658CC8">
            <wp:extent cx="5274168" cy="2966720"/>
            <wp:effectExtent l="0" t="0" r="0" b="0"/>
            <wp:docPr id="179192070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920701" name="图片 1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168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3045C" w14:textId="77777777" w:rsidR="00611977" w:rsidRDefault="00611977" w:rsidP="00611977"/>
    <w:p w14:paraId="6FBB3F92" w14:textId="77777777" w:rsidR="00611977" w:rsidRPr="00023820" w:rsidRDefault="00611977" w:rsidP="00611977">
      <w:pPr>
        <w:rPr>
          <w:rFonts w:ascii="Times New Roman" w:hAnsi="Times New Roman" w:cs="Times New Roman"/>
          <w:b/>
          <w:bCs/>
        </w:rPr>
      </w:pPr>
    </w:p>
    <w:p w14:paraId="1A864769" w14:textId="77777777" w:rsidR="008C374B" w:rsidRDefault="008C374B"/>
    <w:sectPr w:rsidR="008C374B" w:rsidSect="00611977">
      <w:footerReference w:type="default" r:id="rId8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74184804"/>
      <w:docPartObj>
        <w:docPartGallery w:val="Page Numbers (Bottom of Page)"/>
        <w:docPartUnique/>
      </w:docPartObj>
    </w:sdtPr>
    <w:sdtContent>
      <w:p w14:paraId="69D68309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56DDAD1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977"/>
    <w:rsid w:val="00092C58"/>
    <w:rsid w:val="002A5090"/>
    <w:rsid w:val="003F36CB"/>
    <w:rsid w:val="005C6F5D"/>
    <w:rsid w:val="00611977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8CA72"/>
  <w15:chartTrackingRefBased/>
  <w15:docId w15:val="{7BD44FEA-4960-419F-A91B-C6741F99B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977"/>
    <w:pPr>
      <w:spacing w:after="0" w:line="240" w:lineRule="auto"/>
    </w:pPr>
    <w:rPr>
      <w:rFonts w:ascii="SimSun" w:eastAsia="SimSun" w:hAnsi="SimSun" w:cs="SimSun"/>
      <w:kern w:val="0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197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197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197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197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197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1977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1977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1977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1977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19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19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19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19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19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9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9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9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9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197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119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197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119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197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119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197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119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19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19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197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61197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11977"/>
    <w:rPr>
      <w:rFonts w:ascii="SimSun" w:eastAsia="SimSun" w:hAnsi="SimSun" w:cs="SimSun"/>
      <w:kern w:val="0"/>
      <w:sz w:val="18"/>
      <w:szCs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6119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143</Words>
  <Characters>817</Characters>
  <Application>Microsoft Office Word</Application>
  <DocSecurity>0</DocSecurity>
  <Lines>6</Lines>
  <Paragraphs>1</Paragraphs>
  <ScaleCrop>false</ScaleCrop>
  <Company>Springer Nature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2024-11-26T10:40:00Z</dcterms:created>
  <dcterms:modified xsi:type="dcterms:W3CDTF">2024-11-26T10:40:00Z</dcterms:modified>
</cp:coreProperties>
</file>