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8A7D6" w14:textId="1EA4E5D5" w:rsidR="00206C17" w:rsidRPr="0051278D" w:rsidRDefault="001F41A9" w:rsidP="00206C17">
      <w:pPr>
        <w:jc w:val="center"/>
        <w:rPr>
          <w:rFonts w:ascii="Times New Roman" w:hAnsi="Times New Roman" w:cs="Times New Roman"/>
          <w:b/>
          <w:bCs/>
          <w:sz w:val="28"/>
          <w:szCs w:val="28"/>
        </w:rPr>
      </w:pPr>
      <w:r w:rsidRPr="0051278D">
        <w:rPr>
          <w:rFonts w:ascii="Times New Roman" w:hAnsi="Times New Roman" w:cs="Times New Roman"/>
          <w:b/>
          <w:bCs/>
          <w:kern w:val="0"/>
          <w:sz w:val="28"/>
          <w:szCs w:val="28"/>
        </w:rPr>
        <w:t>Control of late-life systolic blood pressure and all-cause mortality among oldest-old people in China</w:t>
      </w:r>
      <w:r w:rsidR="00206C17" w:rsidRPr="0051278D">
        <w:rPr>
          <w:rFonts w:ascii="Times New Roman" w:hAnsi="Times New Roman" w:cs="Times New Roman"/>
          <w:b/>
          <w:bCs/>
          <w:sz w:val="28"/>
          <w:szCs w:val="28"/>
        </w:rPr>
        <w:t xml:space="preserve">: </w:t>
      </w:r>
      <w:r w:rsidR="0051278D" w:rsidRPr="0051278D">
        <w:rPr>
          <w:rFonts w:ascii="Times New Roman" w:hAnsi="Times New Roman" w:cs="Times New Roman"/>
          <w:b/>
          <w:bCs/>
          <w:sz w:val="28"/>
          <w:szCs w:val="28"/>
        </w:rPr>
        <w:t>the Chinese Longitudinal Healthy Longevity Survey</w:t>
      </w:r>
    </w:p>
    <w:p w14:paraId="62631731" w14:textId="77777777" w:rsidR="00206C17" w:rsidRPr="00AF26FE" w:rsidRDefault="00206C17" w:rsidP="00206C17">
      <w:pPr>
        <w:jc w:val="center"/>
        <w:rPr>
          <w:rFonts w:ascii="Times New Roman" w:hAnsi="Times New Roman" w:cs="Times New Roman"/>
          <w:b/>
          <w:bCs/>
          <w:color w:val="FF0000"/>
          <w:sz w:val="24"/>
          <w:szCs w:val="24"/>
        </w:rPr>
      </w:pPr>
    </w:p>
    <w:p w14:paraId="7AA9121E" w14:textId="3D5AE07E" w:rsidR="00206C17" w:rsidRPr="00AF26FE" w:rsidRDefault="00206C17" w:rsidP="00206C17">
      <w:pPr>
        <w:jc w:val="center"/>
        <w:rPr>
          <w:rFonts w:ascii="Times New Roman" w:hAnsi="Times New Roman" w:cs="Times New Roman"/>
          <w:b/>
          <w:bCs/>
          <w:sz w:val="24"/>
          <w:szCs w:val="24"/>
        </w:rPr>
      </w:pPr>
      <w:r w:rsidRPr="00AF26FE">
        <w:rPr>
          <w:rFonts w:ascii="Times New Roman" w:hAnsi="Times New Roman" w:cs="Times New Roman"/>
          <w:b/>
          <w:bCs/>
          <w:sz w:val="24"/>
          <w:szCs w:val="24"/>
        </w:rPr>
        <w:t>Supplement material</w:t>
      </w:r>
    </w:p>
    <w:p w14:paraId="0C629781" w14:textId="77777777" w:rsidR="00206C17" w:rsidRPr="00AF26FE" w:rsidRDefault="00206C17" w:rsidP="006F208B">
      <w:pPr>
        <w:rPr>
          <w:rFonts w:ascii="Times New Roman" w:hAnsi="Times New Roman" w:cs="Times New Roman"/>
          <w:b/>
          <w:bCs/>
          <w:sz w:val="24"/>
          <w:szCs w:val="24"/>
        </w:rPr>
      </w:pPr>
    </w:p>
    <w:p w14:paraId="1F497CFE" w14:textId="620CF5B1" w:rsidR="006E779A" w:rsidRDefault="006E779A" w:rsidP="006E779A">
      <w:pPr>
        <w:spacing w:after="160"/>
        <w:rPr>
          <w:rFonts w:ascii="Times New Roman" w:hAnsi="Times New Roman" w:cs="Times New Roman"/>
          <w:sz w:val="24"/>
          <w:szCs w:val="24"/>
        </w:rPr>
      </w:pPr>
      <w:r w:rsidRPr="00AF26FE">
        <w:rPr>
          <w:rFonts w:ascii="Times New Roman" w:hAnsi="Times New Roman" w:cs="Times New Roman"/>
          <w:b/>
          <w:bCs/>
          <w:kern w:val="0"/>
          <w:sz w:val="24"/>
          <w:szCs w:val="24"/>
        </w:rPr>
        <w:t>e</w:t>
      </w:r>
      <w:r w:rsidR="00506DC4">
        <w:rPr>
          <w:rFonts w:ascii="Times New Roman" w:hAnsi="Times New Roman" w:cs="Times New Roman"/>
          <w:b/>
          <w:bCs/>
          <w:kern w:val="0"/>
          <w:sz w:val="24"/>
          <w:szCs w:val="24"/>
        </w:rPr>
        <w:t>-</w:t>
      </w:r>
      <w:r w:rsidRPr="00AF26FE">
        <w:rPr>
          <w:rFonts w:ascii="Times New Roman" w:hAnsi="Times New Roman" w:cs="Times New Roman"/>
          <w:b/>
          <w:bCs/>
          <w:sz w:val="24"/>
          <w:szCs w:val="24"/>
        </w:rPr>
        <w:t>Figure 1</w:t>
      </w:r>
      <w:r w:rsidRPr="00AF26FE">
        <w:rPr>
          <w:rFonts w:ascii="Times New Roman" w:hAnsi="Times New Roman" w:cs="Times New Roman"/>
          <w:sz w:val="24"/>
          <w:szCs w:val="24"/>
        </w:rPr>
        <w:t>. Flow chart of the study population.</w:t>
      </w:r>
    </w:p>
    <w:p w14:paraId="32A462C3" w14:textId="263A6590" w:rsidR="00AF26FE" w:rsidRPr="00AF26FE" w:rsidRDefault="00AF26FE" w:rsidP="00AF26FE">
      <w:pPr>
        <w:spacing w:after="160"/>
        <w:rPr>
          <w:rFonts w:ascii="Times New Roman" w:hAnsi="Times New Roman" w:cs="Times New Roman"/>
          <w:sz w:val="24"/>
          <w:szCs w:val="24"/>
        </w:rPr>
      </w:pPr>
      <w:r w:rsidRPr="00AF26FE">
        <w:rPr>
          <w:rFonts w:ascii="Times New Roman" w:hAnsi="Times New Roman" w:cs="Times New Roman"/>
          <w:b/>
          <w:bCs/>
          <w:kern w:val="0"/>
          <w:sz w:val="24"/>
          <w:szCs w:val="24"/>
        </w:rPr>
        <w:t>e</w:t>
      </w:r>
      <w:r w:rsidR="00506DC4">
        <w:rPr>
          <w:rFonts w:ascii="Times New Roman" w:hAnsi="Times New Roman" w:cs="Times New Roman"/>
          <w:b/>
          <w:bCs/>
          <w:kern w:val="0"/>
          <w:sz w:val="24"/>
          <w:szCs w:val="24"/>
        </w:rPr>
        <w:t>-</w:t>
      </w:r>
      <w:r w:rsidRPr="00AF26FE">
        <w:rPr>
          <w:rFonts w:ascii="Times New Roman" w:hAnsi="Times New Roman" w:cs="Times New Roman"/>
          <w:b/>
          <w:bCs/>
          <w:sz w:val="24"/>
          <w:szCs w:val="24"/>
        </w:rPr>
        <w:t>Figure 2</w:t>
      </w:r>
      <w:r w:rsidRPr="00AF26FE">
        <w:rPr>
          <w:rFonts w:ascii="Times New Roman" w:hAnsi="Times New Roman" w:cs="Times New Roman"/>
          <w:sz w:val="24"/>
          <w:szCs w:val="24"/>
        </w:rPr>
        <w:t xml:space="preserve">. </w:t>
      </w:r>
      <w:r w:rsidR="00A30177" w:rsidRPr="00AF26FE">
        <w:rPr>
          <w:rFonts w:ascii="Times New Roman" w:hAnsi="Times New Roman" w:cs="Times New Roman"/>
          <w:sz w:val="24"/>
          <w:szCs w:val="24"/>
        </w:rPr>
        <w:t>Schematic diagram of the analyses relating control of systolic blood pressure to 3-years risk of all-cause mortality at different cohorts</w:t>
      </w:r>
      <w:r w:rsidRPr="00AF26FE">
        <w:rPr>
          <w:rFonts w:ascii="Times New Roman" w:hAnsi="Times New Roman" w:cs="Times New Roman"/>
          <w:sz w:val="24"/>
          <w:szCs w:val="24"/>
        </w:rPr>
        <w:t>.</w:t>
      </w:r>
    </w:p>
    <w:p w14:paraId="7B1BFA76" w14:textId="6F5730BA" w:rsidR="006E779A" w:rsidRPr="00AF26FE" w:rsidRDefault="006E779A" w:rsidP="006E779A">
      <w:pPr>
        <w:spacing w:after="160"/>
        <w:rPr>
          <w:rFonts w:ascii="Times New Roman" w:hAnsi="Times New Roman" w:cs="Times New Roman"/>
          <w:sz w:val="24"/>
          <w:szCs w:val="24"/>
        </w:rPr>
      </w:pPr>
      <w:r w:rsidRPr="00AF26FE">
        <w:rPr>
          <w:rFonts w:ascii="Times New Roman" w:hAnsi="Times New Roman" w:cs="Times New Roman"/>
          <w:b/>
          <w:bCs/>
          <w:kern w:val="0"/>
          <w:sz w:val="24"/>
          <w:szCs w:val="24"/>
        </w:rPr>
        <w:t>e</w:t>
      </w:r>
      <w:r w:rsidR="00506DC4">
        <w:rPr>
          <w:rFonts w:ascii="Times New Roman" w:hAnsi="Times New Roman" w:cs="Times New Roman"/>
          <w:b/>
          <w:bCs/>
          <w:kern w:val="0"/>
          <w:sz w:val="24"/>
          <w:szCs w:val="24"/>
        </w:rPr>
        <w:t>-</w:t>
      </w:r>
      <w:r w:rsidRPr="00AF26FE">
        <w:rPr>
          <w:rFonts w:ascii="Times New Roman" w:hAnsi="Times New Roman" w:cs="Times New Roman"/>
          <w:b/>
          <w:bCs/>
          <w:sz w:val="24"/>
          <w:szCs w:val="24"/>
        </w:rPr>
        <w:t xml:space="preserve">Figure </w:t>
      </w:r>
      <w:r w:rsidR="002C305F">
        <w:rPr>
          <w:rFonts w:ascii="Times New Roman" w:hAnsi="Times New Roman" w:cs="Times New Roman"/>
          <w:b/>
          <w:bCs/>
          <w:sz w:val="24"/>
          <w:szCs w:val="24"/>
        </w:rPr>
        <w:t>3</w:t>
      </w:r>
      <w:r w:rsidRPr="00AF26FE">
        <w:rPr>
          <w:rFonts w:ascii="Times New Roman" w:hAnsi="Times New Roman" w:cs="Times New Roman"/>
          <w:sz w:val="24"/>
          <w:szCs w:val="24"/>
        </w:rPr>
        <w:t>. Associations of mean systolic blood pressure and systolic blood pressure variability and all-cause mortality after excluding participants involved into more than one cohort.</w:t>
      </w:r>
    </w:p>
    <w:p w14:paraId="6925DDAB" w14:textId="1F4252D9" w:rsidR="006E779A" w:rsidRDefault="006E779A" w:rsidP="006E779A">
      <w:pPr>
        <w:spacing w:after="160"/>
        <w:rPr>
          <w:rFonts w:ascii="Times New Roman" w:hAnsi="Times New Roman" w:cs="Times New Roman"/>
          <w:sz w:val="24"/>
          <w:szCs w:val="24"/>
        </w:rPr>
      </w:pPr>
      <w:r w:rsidRPr="00AF26FE">
        <w:rPr>
          <w:rFonts w:ascii="Times New Roman" w:hAnsi="Times New Roman" w:cs="Times New Roman"/>
          <w:b/>
          <w:bCs/>
          <w:kern w:val="0"/>
          <w:sz w:val="24"/>
          <w:szCs w:val="24"/>
        </w:rPr>
        <w:t>e</w:t>
      </w:r>
      <w:r w:rsidR="00506DC4">
        <w:rPr>
          <w:rFonts w:ascii="Times New Roman" w:hAnsi="Times New Roman" w:cs="Times New Roman"/>
          <w:b/>
          <w:bCs/>
          <w:kern w:val="0"/>
          <w:sz w:val="24"/>
          <w:szCs w:val="24"/>
        </w:rPr>
        <w:t>-</w:t>
      </w:r>
      <w:r w:rsidRPr="00AF26FE">
        <w:rPr>
          <w:rFonts w:ascii="Times New Roman" w:hAnsi="Times New Roman" w:cs="Times New Roman"/>
          <w:b/>
          <w:bCs/>
          <w:sz w:val="24"/>
          <w:szCs w:val="24"/>
        </w:rPr>
        <w:t xml:space="preserve">Figure </w:t>
      </w:r>
      <w:r w:rsidR="002C305F">
        <w:rPr>
          <w:rFonts w:ascii="Times New Roman" w:hAnsi="Times New Roman" w:cs="Times New Roman"/>
          <w:b/>
          <w:bCs/>
          <w:sz w:val="24"/>
          <w:szCs w:val="24"/>
        </w:rPr>
        <w:t>4</w:t>
      </w:r>
      <w:r w:rsidRPr="00AF26FE">
        <w:rPr>
          <w:rFonts w:ascii="Times New Roman" w:hAnsi="Times New Roman" w:cs="Times New Roman"/>
          <w:sz w:val="24"/>
          <w:szCs w:val="24"/>
        </w:rPr>
        <w:t>. Associations of categorized mean systolic blood pressure (mean SBP) and systolic blood pressure variability (SBPV) and all-cause mortality, using different lag periods after using multiple imputations to account for missing covariates.</w:t>
      </w:r>
    </w:p>
    <w:p w14:paraId="0CD4C9FB" w14:textId="70A4BBDB" w:rsidR="006E779A" w:rsidRPr="00AF26FE" w:rsidRDefault="0082578F" w:rsidP="006E779A">
      <w:pPr>
        <w:spacing w:after="160"/>
        <w:rPr>
          <w:rFonts w:ascii="Times New Roman" w:hAnsi="Times New Roman" w:cs="Times New Roman"/>
          <w:b/>
          <w:bCs/>
          <w:kern w:val="0"/>
          <w:sz w:val="24"/>
          <w:szCs w:val="24"/>
        </w:rPr>
        <w:sectPr w:rsidR="006E779A" w:rsidRPr="00AF26FE" w:rsidSect="00426BDB">
          <w:pgSz w:w="11906" w:h="16838"/>
          <w:pgMar w:top="1440" w:right="1800" w:bottom="1440" w:left="1800" w:header="851" w:footer="992" w:gutter="0"/>
          <w:cols w:space="425"/>
          <w:docGrid w:type="lines" w:linePitch="312"/>
        </w:sectPr>
      </w:pPr>
      <w:r w:rsidRPr="00AF26FE">
        <w:rPr>
          <w:rFonts w:ascii="Times New Roman" w:hAnsi="Times New Roman" w:cs="Times New Roman"/>
          <w:b/>
          <w:bCs/>
          <w:kern w:val="0"/>
          <w:sz w:val="24"/>
          <w:szCs w:val="24"/>
        </w:rPr>
        <w:t>e</w:t>
      </w:r>
      <w:r w:rsidR="00506DC4">
        <w:rPr>
          <w:rFonts w:ascii="Times New Roman" w:hAnsi="Times New Roman" w:cs="Times New Roman"/>
          <w:b/>
          <w:bCs/>
          <w:kern w:val="0"/>
          <w:sz w:val="24"/>
          <w:szCs w:val="24"/>
        </w:rPr>
        <w:t>-</w:t>
      </w:r>
      <w:r w:rsidRPr="00AF26FE">
        <w:rPr>
          <w:rFonts w:ascii="Times New Roman" w:hAnsi="Times New Roman" w:cs="Times New Roman"/>
          <w:b/>
          <w:bCs/>
          <w:sz w:val="24"/>
          <w:szCs w:val="24"/>
        </w:rPr>
        <w:t>Table 1</w:t>
      </w:r>
      <w:r w:rsidRPr="00AF26FE">
        <w:rPr>
          <w:rFonts w:ascii="Times New Roman" w:hAnsi="Times New Roman" w:cs="Times New Roman"/>
          <w:sz w:val="24"/>
          <w:szCs w:val="24"/>
        </w:rPr>
        <w:t>. Associations of categorized mean systolic blood pressure (mean SBP) and systolic blood pressure variability (SBPV) and all-cause mortality, using different lag periods after using multiple imputations to account for missing covariates.</w:t>
      </w:r>
    </w:p>
    <w:p w14:paraId="3BDE2087" w14:textId="4745F676" w:rsidR="00426BDB" w:rsidRPr="00AF26FE" w:rsidRDefault="00D04525" w:rsidP="00426BDB">
      <w:pPr>
        <w:rPr>
          <w:rFonts w:ascii="Times New Roman" w:hAnsi="Times New Roman" w:cs="Times New Roman"/>
          <w:sz w:val="24"/>
          <w:szCs w:val="24"/>
        </w:rPr>
      </w:pPr>
      <w:r w:rsidRPr="00AF26FE">
        <w:rPr>
          <w:rFonts w:ascii="Times New Roman" w:hAnsi="Times New Roman" w:cs="Times New Roman"/>
          <w:b/>
          <w:bCs/>
          <w:kern w:val="0"/>
          <w:sz w:val="24"/>
          <w:szCs w:val="24"/>
        </w:rPr>
        <w:lastRenderedPageBreak/>
        <w:t>e</w:t>
      </w:r>
      <w:r w:rsidR="00506DC4">
        <w:rPr>
          <w:rFonts w:ascii="Times New Roman" w:hAnsi="Times New Roman" w:cs="Times New Roman"/>
          <w:b/>
          <w:bCs/>
          <w:kern w:val="0"/>
          <w:sz w:val="24"/>
          <w:szCs w:val="24"/>
        </w:rPr>
        <w:t>-</w:t>
      </w:r>
      <w:r w:rsidR="00426BDB" w:rsidRPr="00AF26FE">
        <w:rPr>
          <w:rFonts w:ascii="Times New Roman" w:hAnsi="Times New Roman" w:cs="Times New Roman"/>
          <w:b/>
          <w:bCs/>
          <w:sz w:val="24"/>
          <w:szCs w:val="24"/>
        </w:rPr>
        <w:t>Figure 1</w:t>
      </w:r>
      <w:r w:rsidR="00426BDB" w:rsidRPr="00AF26FE">
        <w:rPr>
          <w:rFonts w:ascii="Times New Roman" w:hAnsi="Times New Roman" w:cs="Times New Roman"/>
          <w:sz w:val="24"/>
          <w:szCs w:val="24"/>
        </w:rPr>
        <w:t>. Flow chart of the study population.</w:t>
      </w:r>
    </w:p>
    <w:p w14:paraId="26C7691C" w14:textId="65E86562" w:rsidR="00426BDB" w:rsidRPr="00AF26FE" w:rsidRDefault="00426BDB" w:rsidP="00426BDB">
      <w:pPr>
        <w:jc w:val="center"/>
        <w:rPr>
          <w:rFonts w:ascii="Times New Roman" w:hAnsi="Times New Roman" w:cs="Times New Roman"/>
          <w:b/>
          <w:bCs/>
          <w:sz w:val="24"/>
          <w:szCs w:val="24"/>
        </w:rPr>
      </w:pPr>
      <w:r w:rsidRPr="00AF26FE">
        <w:rPr>
          <w:rFonts w:ascii="Times New Roman" w:hAnsi="Times New Roman" w:cs="Times New Roman"/>
          <w:noProof/>
          <w:sz w:val="24"/>
          <w:szCs w:val="24"/>
        </w:rPr>
        <w:drawing>
          <wp:inline distT="0" distB="0" distL="0" distR="0" wp14:anchorId="00FE7B7D" wp14:editId="3DD4242E">
            <wp:extent cx="5238750" cy="26193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22316" t="20985" r="19300" b="27195"/>
                    <a:stretch/>
                  </pic:blipFill>
                  <pic:spPr bwMode="auto">
                    <a:xfrm>
                      <a:off x="0" y="0"/>
                      <a:ext cx="5238750" cy="2619375"/>
                    </a:xfrm>
                    <a:prstGeom prst="rect">
                      <a:avLst/>
                    </a:prstGeom>
                    <a:noFill/>
                    <a:ln>
                      <a:noFill/>
                    </a:ln>
                    <a:extLst>
                      <a:ext uri="{53640926-AAD7-44D8-BBD7-CCE9431645EC}">
                        <a14:shadowObscured xmlns:a14="http://schemas.microsoft.com/office/drawing/2010/main"/>
                      </a:ext>
                    </a:extLst>
                  </pic:spPr>
                </pic:pic>
              </a:graphicData>
            </a:graphic>
          </wp:inline>
        </w:drawing>
      </w:r>
    </w:p>
    <w:p w14:paraId="3920FCBE" w14:textId="77777777" w:rsidR="00426BDB" w:rsidRPr="00AF26FE" w:rsidRDefault="00426BDB" w:rsidP="00A62A43">
      <w:pPr>
        <w:rPr>
          <w:rFonts w:ascii="Times New Roman" w:hAnsi="Times New Roman" w:cs="Times New Roman"/>
          <w:b/>
          <w:bCs/>
          <w:sz w:val="24"/>
          <w:szCs w:val="24"/>
        </w:rPr>
        <w:sectPr w:rsidR="00426BDB" w:rsidRPr="00AF26FE" w:rsidSect="00426BDB">
          <w:pgSz w:w="11906" w:h="16838"/>
          <w:pgMar w:top="1440" w:right="1800" w:bottom="1440" w:left="1800" w:header="851" w:footer="992" w:gutter="0"/>
          <w:cols w:space="425"/>
          <w:docGrid w:type="lines" w:linePitch="312"/>
        </w:sectPr>
      </w:pPr>
    </w:p>
    <w:p w14:paraId="37581FFA" w14:textId="7AC7BECF" w:rsidR="00AF26FE" w:rsidRPr="00AF26FE" w:rsidRDefault="00AF26FE" w:rsidP="00AF26FE">
      <w:pPr>
        <w:rPr>
          <w:rFonts w:ascii="Times New Roman" w:hAnsi="Times New Roman" w:cs="Times New Roman"/>
          <w:sz w:val="24"/>
          <w:szCs w:val="24"/>
        </w:rPr>
      </w:pPr>
      <w:r w:rsidRPr="00AF26FE">
        <w:rPr>
          <w:rFonts w:ascii="Times New Roman" w:hAnsi="Times New Roman" w:cs="Times New Roman"/>
          <w:b/>
          <w:bCs/>
          <w:sz w:val="24"/>
          <w:szCs w:val="24"/>
        </w:rPr>
        <w:lastRenderedPageBreak/>
        <w:t>e</w:t>
      </w:r>
      <w:r w:rsidR="00506DC4">
        <w:rPr>
          <w:rFonts w:ascii="Times New Roman" w:hAnsi="Times New Roman" w:cs="Times New Roman"/>
          <w:b/>
          <w:bCs/>
          <w:sz w:val="24"/>
          <w:szCs w:val="24"/>
        </w:rPr>
        <w:t>-</w:t>
      </w:r>
      <w:r w:rsidRPr="00AF26FE">
        <w:rPr>
          <w:rFonts w:ascii="Times New Roman" w:hAnsi="Times New Roman" w:cs="Times New Roman"/>
          <w:b/>
          <w:bCs/>
          <w:sz w:val="24"/>
          <w:szCs w:val="24"/>
        </w:rPr>
        <w:t>Figure 2</w:t>
      </w:r>
      <w:r w:rsidRPr="00AF26FE">
        <w:rPr>
          <w:rFonts w:ascii="Times New Roman" w:hAnsi="Times New Roman" w:cs="Times New Roman"/>
          <w:sz w:val="24"/>
          <w:szCs w:val="24"/>
        </w:rPr>
        <w:t>. Schematic diagram of the analyses relating control of systolic blood pressure to 3-years risk of all-cause mortality at different cohorts.</w:t>
      </w:r>
    </w:p>
    <w:p w14:paraId="4ACF8473" w14:textId="77777777" w:rsidR="00AF26FE" w:rsidRPr="00AF26FE" w:rsidRDefault="00AF26FE" w:rsidP="00AF26FE">
      <w:pPr>
        <w:jc w:val="center"/>
        <w:rPr>
          <w:rFonts w:ascii="Times New Roman" w:hAnsi="Times New Roman" w:cs="Times New Roman"/>
          <w:b/>
          <w:bCs/>
          <w:sz w:val="24"/>
          <w:szCs w:val="24"/>
        </w:rPr>
      </w:pPr>
      <w:r w:rsidRPr="00AF26FE">
        <w:rPr>
          <w:rFonts w:ascii="Times New Roman" w:hAnsi="Times New Roman" w:cs="Times New Roman"/>
          <w:noProof/>
          <w:sz w:val="24"/>
          <w:szCs w:val="24"/>
        </w:rPr>
        <w:drawing>
          <wp:inline distT="0" distB="0" distL="0" distR="0" wp14:anchorId="591449C2" wp14:editId="7A5E8CBC">
            <wp:extent cx="8427404" cy="3430829"/>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6393" t="8993" r="5309" b="27195"/>
                    <a:stretch/>
                  </pic:blipFill>
                  <pic:spPr bwMode="auto">
                    <a:xfrm>
                      <a:off x="0" y="0"/>
                      <a:ext cx="8492292" cy="3457245"/>
                    </a:xfrm>
                    <a:prstGeom prst="rect">
                      <a:avLst/>
                    </a:prstGeom>
                    <a:noFill/>
                    <a:ln>
                      <a:noFill/>
                    </a:ln>
                    <a:extLst>
                      <a:ext uri="{53640926-AAD7-44D8-BBD7-CCE9431645EC}">
                        <a14:shadowObscured xmlns:a14="http://schemas.microsoft.com/office/drawing/2010/main"/>
                      </a:ext>
                    </a:extLst>
                  </pic:spPr>
                </pic:pic>
              </a:graphicData>
            </a:graphic>
          </wp:inline>
        </w:drawing>
      </w:r>
    </w:p>
    <w:p w14:paraId="154049AE" w14:textId="6B6A6464" w:rsidR="00AF26FE" w:rsidRPr="00AF26FE" w:rsidRDefault="00AF26FE" w:rsidP="00103F25">
      <w:pPr>
        <w:rPr>
          <w:rFonts w:ascii="Times New Roman" w:hAnsi="Times New Roman" w:cs="Times New Roman"/>
          <w:b/>
          <w:bCs/>
          <w:kern w:val="0"/>
          <w:sz w:val="24"/>
          <w:szCs w:val="24"/>
        </w:rPr>
      </w:pPr>
      <w:r w:rsidRPr="00AF26FE">
        <w:rPr>
          <w:rFonts w:ascii="Times New Roman" w:hAnsi="Times New Roman" w:cs="Times New Roman"/>
          <w:b/>
          <w:bCs/>
          <w:sz w:val="24"/>
          <w:szCs w:val="24"/>
        </w:rPr>
        <w:t>Note:</w:t>
      </w:r>
      <w:r w:rsidRPr="00AF26FE">
        <w:rPr>
          <w:rFonts w:ascii="Times New Roman" w:hAnsi="Times New Roman" w:cs="Times New Roman"/>
          <w:sz w:val="24"/>
          <w:szCs w:val="24"/>
        </w:rPr>
        <w:t xml:space="preserve"> </w:t>
      </w:r>
      <w:r w:rsidRPr="00AF26FE">
        <w:rPr>
          <w:rFonts w:ascii="Times New Roman" w:hAnsi="Times New Roman" w:cs="Times New Roman"/>
          <w:sz w:val="24"/>
        </w:rPr>
        <w:t>Repeated involvement was allowed for eligible participants.</w:t>
      </w:r>
    </w:p>
    <w:p w14:paraId="2970244D" w14:textId="77777777" w:rsidR="00AF26FE" w:rsidRPr="00AF26FE" w:rsidRDefault="00AF26FE" w:rsidP="00103F25">
      <w:pPr>
        <w:rPr>
          <w:rFonts w:ascii="Times New Roman" w:hAnsi="Times New Roman" w:cs="Times New Roman"/>
          <w:b/>
          <w:bCs/>
          <w:kern w:val="0"/>
          <w:sz w:val="24"/>
          <w:szCs w:val="24"/>
        </w:rPr>
        <w:sectPr w:rsidR="00AF26FE" w:rsidRPr="00AF26FE" w:rsidSect="00AF26FE">
          <w:pgSz w:w="16838" w:h="11906" w:orient="landscape"/>
          <w:pgMar w:top="1800" w:right="1440" w:bottom="1800" w:left="1440" w:header="851" w:footer="992" w:gutter="0"/>
          <w:cols w:space="425"/>
          <w:docGrid w:type="lines" w:linePitch="312"/>
        </w:sectPr>
      </w:pPr>
    </w:p>
    <w:p w14:paraId="58AC6CE3" w14:textId="5BDDE560" w:rsidR="00AF6DA0" w:rsidRPr="00AF26FE" w:rsidRDefault="00D04525" w:rsidP="00AF6DA0">
      <w:pPr>
        <w:rPr>
          <w:rFonts w:ascii="Times New Roman" w:hAnsi="Times New Roman" w:cs="Times New Roman"/>
          <w:sz w:val="24"/>
          <w:szCs w:val="24"/>
        </w:rPr>
      </w:pPr>
      <w:r w:rsidRPr="00AF26FE">
        <w:rPr>
          <w:rFonts w:ascii="Times New Roman" w:hAnsi="Times New Roman" w:cs="Times New Roman"/>
          <w:b/>
          <w:bCs/>
          <w:kern w:val="0"/>
          <w:sz w:val="24"/>
          <w:szCs w:val="24"/>
        </w:rPr>
        <w:lastRenderedPageBreak/>
        <w:t>e</w:t>
      </w:r>
      <w:r w:rsidR="00506DC4">
        <w:rPr>
          <w:rFonts w:ascii="Times New Roman" w:hAnsi="Times New Roman" w:cs="Times New Roman"/>
          <w:b/>
          <w:bCs/>
          <w:kern w:val="0"/>
          <w:sz w:val="24"/>
          <w:szCs w:val="24"/>
        </w:rPr>
        <w:t>-</w:t>
      </w:r>
      <w:r w:rsidR="00AF6DA0" w:rsidRPr="00AF26FE">
        <w:rPr>
          <w:rFonts w:ascii="Times New Roman" w:hAnsi="Times New Roman" w:cs="Times New Roman"/>
          <w:b/>
          <w:bCs/>
          <w:sz w:val="24"/>
          <w:szCs w:val="24"/>
        </w:rPr>
        <w:t xml:space="preserve">Figure </w:t>
      </w:r>
      <w:r w:rsidR="002C305F">
        <w:rPr>
          <w:rFonts w:ascii="Times New Roman" w:hAnsi="Times New Roman" w:cs="Times New Roman"/>
          <w:b/>
          <w:bCs/>
          <w:sz w:val="24"/>
          <w:szCs w:val="24"/>
        </w:rPr>
        <w:t>3</w:t>
      </w:r>
      <w:r w:rsidR="00AF6DA0" w:rsidRPr="00AF26FE">
        <w:rPr>
          <w:rFonts w:ascii="Times New Roman" w:hAnsi="Times New Roman" w:cs="Times New Roman"/>
          <w:sz w:val="24"/>
          <w:szCs w:val="24"/>
        </w:rPr>
        <w:t xml:space="preserve">. </w:t>
      </w:r>
      <w:r w:rsidR="00302C3C" w:rsidRPr="00AF26FE">
        <w:rPr>
          <w:rFonts w:ascii="Times New Roman" w:hAnsi="Times New Roman" w:cs="Times New Roman"/>
          <w:sz w:val="24"/>
          <w:szCs w:val="24"/>
        </w:rPr>
        <w:t xml:space="preserve">Associations of mean systolic blood pressure </w:t>
      </w:r>
      <w:r w:rsidR="00350A82" w:rsidRPr="00AF26FE">
        <w:rPr>
          <w:rFonts w:ascii="Times New Roman" w:hAnsi="Times New Roman" w:cs="Times New Roman"/>
          <w:sz w:val="24"/>
          <w:szCs w:val="24"/>
        </w:rPr>
        <w:t>and</w:t>
      </w:r>
      <w:r w:rsidR="00302C3C" w:rsidRPr="00AF26FE">
        <w:rPr>
          <w:rFonts w:ascii="Times New Roman" w:hAnsi="Times New Roman" w:cs="Times New Roman"/>
          <w:sz w:val="24"/>
          <w:szCs w:val="24"/>
        </w:rPr>
        <w:t xml:space="preserve"> systolic blood pressure variability and all-cause mortality</w:t>
      </w:r>
      <w:r w:rsidR="00CD6273" w:rsidRPr="00AF26FE">
        <w:rPr>
          <w:rFonts w:ascii="Times New Roman" w:hAnsi="Times New Roman" w:cs="Times New Roman"/>
          <w:sz w:val="24"/>
          <w:szCs w:val="24"/>
        </w:rPr>
        <w:t xml:space="preserve"> after excluding participants involved into more than one cohort.</w:t>
      </w:r>
    </w:p>
    <w:p w14:paraId="73F50BEE" w14:textId="3C6D178E" w:rsidR="00AF6DA0" w:rsidRPr="00AF26FE" w:rsidRDefault="00AF6DA0" w:rsidP="00AF6DA0">
      <w:pPr>
        <w:jc w:val="center"/>
        <w:rPr>
          <w:rFonts w:ascii="Times New Roman" w:hAnsi="Times New Roman" w:cs="Times New Roman"/>
          <w:sz w:val="24"/>
          <w:szCs w:val="24"/>
        </w:rPr>
      </w:pPr>
      <w:r w:rsidRPr="00AF26FE">
        <w:rPr>
          <w:rFonts w:ascii="Times New Roman" w:hAnsi="Times New Roman" w:cs="Times New Roman"/>
          <w:noProof/>
          <w:sz w:val="24"/>
          <w:szCs w:val="24"/>
        </w:rPr>
        <w:drawing>
          <wp:inline distT="0" distB="0" distL="0" distR="0" wp14:anchorId="2AA1FCDA" wp14:editId="402D7096">
            <wp:extent cx="5270500" cy="350520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0500" cy="3505200"/>
                    </a:xfrm>
                    <a:prstGeom prst="rect">
                      <a:avLst/>
                    </a:prstGeom>
                    <a:noFill/>
                    <a:ln>
                      <a:noFill/>
                    </a:ln>
                  </pic:spPr>
                </pic:pic>
              </a:graphicData>
            </a:graphic>
          </wp:inline>
        </w:drawing>
      </w:r>
    </w:p>
    <w:p w14:paraId="14AC3A6F" w14:textId="77777777" w:rsidR="00AF6DA0" w:rsidRPr="00AF26FE" w:rsidRDefault="00AF6DA0" w:rsidP="00AF6DA0">
      <w:pPr>
        <w:rPr>
          <w:rFonts w:ascii="Times New Roman" w:hAnsi="Times New Roman" w:cs="Times New Roman"/>
          <w:sz w:val="24"/>
          <w:szCs w:val="24"/>
        </w:rPr>
      </w:pPr>
    </w:p>
    <w:p w14:paraId="79BBDB47" w14:textId="506925EC" w:rsidR="00AF6DA0" w:rsidRPr="00AF26FE" w:rsidRDefault="005616F0" w:rsidP="00AF6DA0">
      <w:pPr>
        <w:rPr>
          <w:rFonts w:ascii="Times New Roman" w:hAnsi="Times New Roman" w:cs="Times New Roman"/>
          <w:sz w:val="24"/>
          <w:szCs w:val="24"/>
        </w:rPr>
        <w:sectPr w:rsidR="00AF6DA0" w:rsidRPr="00AF26FE" w:rsidSect="008B00A4">
          <w:pgSz w:w="11906" w:h="16838"/>
          <w:pgMar w:top="1440" w:right="1800" w:bottom="1440" w:left="1800" w:header="851" w:footer="992" w:gutter="0"/>
          <w:cols w:space="425"/>
          <w:docGrid w:type="lines" w:linePitch="312"/>
        </w:sectPr>
      </w:pPr>
      <w:r w:rsidRPr="00AF26FE">
        <w:rPr>
          <w:rFonts w:ascii="Times New Roman" w:hAnsi="Times New Roman" w:cs="Times New Roman"/>
          <w:noProof/>
          <w:sz w:val="24"/>
          <w:szCs w:val="24"/>
        </w:rPr>
        <w:drawing>
          <wp:inline distT="0" distB="0" distL="0" distR="0" wp14:anchorId="66154E3B" wp14:editId="5A67211F">
            <wp:extent cx="5270500" cy="350520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0500" cy="3505200"/>
                    </a:xfrm>
                    <a:prstGeom prst="rect">
                      <a:avLst/>
                    </a:prstGeom>
                    <a:noFill/>
                    <a:ln>
                      <a:noFill/>
                    </a:ln>
                  </pic:spPr>
                </pic:pic>
              </a:graphicData>
            </a:graphic>
          </wp:inline>
        </w:drawing>
      </w:r>
      <w:r w:rsidRPr="00AF26FE">
        <w:rPr>
          <w:rFonts w:ascii="Times New Roman" w:hAnsi="Times New Roman" w:cs="Times New Roman"/>
          <w:sz w:val="24"/>
          <w:szCs w:val="24"/>
        </w:rPr>
        <w:t xml:space="preserve"> </w:t>
      </w:r>
    </w:p>
    <w:p w14:paraId="58553970" w14:textId="51329D89" w:rsidR="00CD6273" w:rsidRPr="00AF26FE" w:rsidRDefault="00D04525" w:rsidP="00AF6DA0">
      <w:pPr>
        <w:rPr>
          <w:rFonts w:ascii="Times New Roman" w:hAnsi="Times New Roman" w:cs="Times New Roman"/>
          <w:sz w:val="24"/>
          <w:szCs w:val="24"/>
        </w:rPr>
      </w:pPr>
      <w:r w:rsidRPr="00AF26FE">
        <w:rPr>
          <w:rFonts w:ascii="Times New Roman" w:hAnsi="Times New Roman" w:cs="Times New Roman"/>
          <w:b/>
          <w:bCs/>
          <w:kern w:val="0"/>
          <w:sz w:val="24"/>
          <w:szCs w:val="24"/>
        </w:rPr>
        <w:lastRenderedPageBreak/>
        <w:t>e</w:t>
      </w:r>
      <w:r w:rsidR="00506DC4">
        <w:rPr>
          <w:rFonts w:ascii="Times New Roman" w:hAnsi="Times New Roman" w:cs="Times New Roman"/>
          <w:b/>
          <w:bCs/>
          <w:kern w:val="0"/>
          <w:sz w:val="24"/>
          <w:szCs w:val="24"/>
        </w:rPr>
        <w:t>-</w:t>
      </w:r>
      <w:r w:rsidR="00AF6DA0" w:rsidRPr="00AF26FE">
        <w:rPr>
          <w:rFonts w:ascii="Times New Roman" w:hAnsi="Times New Roman" w:cs="Times New Roman"/>
          <w:b/>
          <w:bCs/>
          <w:sz w:val="24"/>
          <w:szCs w:val="24"/>
        </w:rPr>
        <w:t>Table 1</w:t>
      </w:r>
      <w:r w:rsidR="00AF6DA0" w:rsidRPr="00AF26FE">
        <w:rPr>
          <w:rFonts w:ascii="Times New Roman" w:hAnsi="Times New Roman" w:cs="Times New Roman"/>
          <w:sz w:val="24"/>
          <w:szCs w:val="24"/>
        </w:rPr>
        <w:t xml:space="preserve">. </w:t>
      </w:r>
      <w:r w:rsidR="00072F7D" w:rsidRPr="00AF26FE">
        <w:rPr>
          <w:rFonts w:ascii="Times New Roman" w:hAnsi="Times New Roman" w:cs="Times New Roman"/>
          <w:sz w:val="24"/>
          <w:szCs w:val="24"/>
        </w:rPr>
        <w:t xml:space="preserve">Associations of categorized mean systolic blood pressure (mean SBP) </w:t>
      </w:r>
      <w:r w:rsidR="00350A82" w:rsidRPr="00AF26FE">
        <w:rPr>
          <w:rFonts w:ascii="Times New Roman" w:hAnsi="Times New Roman" w:cs="Times New Roman"/>
          <w:sz w:val="24"/>
          <w:szCs w:val="24"/>
        </w:rPr>
        <w:t>and</w:t>
      </w:r>
      <w:r w:rsidR="00072F7D" w:rsidRPr="00AF26FE">
        <w:rPr>
          <w:rFonts w:ascii="Times New Roman" w:hAnsi="Times New Roman" w:cs="Times New Roman"/>
          <w:sz w:val="24"/>
          <w:szCs w:val="24"/>
        </w:rPr>
        <w:t xml:space="preserve"> systolic blood pressure variability (SBPV) and all-cause mortality, using different lag periods </w:t>
      </w:r>
      <w:r w:rsidR="00C366A2" w:rsidRPr="00AF26FE">
        <w:rPr>
          <w:rFonts w:ascii="Times New Roman" w:hAnsi="Times New Roman" w:cs="Times New Roman"/>
          <w:sz w:val="24"/>
          <w:szCs w:val="24"/>
        </w:rPr>
        <w:t xml:space="preserve">after </w:t>
      </w:r>
      <w:r w:rsidR="00072F7D" w:rsidRPr="00AF26FE">
        <w:rPr>
          <w:rFonts w:ascii="Times New Roman" w:hAnsi="Times New Roman" w:cs="Times New Roman"/>
          <w:sz w:val="24"/>
          <w:szCs w:val="24"/>
        </w:rPr>
        <w:t>using multiple imputations to account for missing covariates.</w:t>
      </w:r>
    </w:p>
    <w:p w14:paraId="2E9ED1C2" w14:textId="77777777" w:rsidR="00844CFA" w:rsidRPr="00AF26FE" w:rsidRDefault="00844CFA" w:rsidP="00AF6DA0">
      <w:pPr>
        <w:rPr>
          <w:rFonts w:ascii="Times New Roman" w:hAnsi="Times New Roman" w:cs="Times New Roman"/>
          <w:sz w:val="24"/>
          <w:szCs w:val="24"/>
        </w:rPr>
      </w:pPr>
    </w:p>
    <w:tbl>
      <w:tblPr>
        <w:tblW w:w="14291" w:type="dxa"/>
        <w:jc w:val="center"/>
        <w:tblBorders>
          <w:top w:val="single" w:sz="8" w:space="0" w:color="auto"/>
          <w:bottom w:val="single" w:sz="8" w:space="0" w:color="auto"/>
        </w:tblBorders>
        <w:tblLook w:val="04A0" w:firstRow="1" w:lastRow="0" w:firstColumn="1" w:lastColumn="0" w:noHBand="0" w:noVBand="1"/>
      </w:tblPr>
      <w:tblGrid>
        <w:gridCol w:w="1418"/>
        <w:gridCol w:w="1453"/>
        <w:gridCol w:w="2095"/>
        <w:gridCol w:w="2501"/>
        <w:gridCol w:w="2413"/>
        <w:gridCol w:w="2398"/>
        <w:gridCol w:w="2013"/>
      </w:tblGrid>
      <w:tr w:rsidR="00AF6DA0" w:rsidRPr="00AF26FE" w14:paraId="1ED7F577" w14:textId="77777777" w:rsidTr="00121674">
        <w:trPr>
          <w:trHeight w:val="300"/>
          <w:jc w:val="center"/>
        </w:trPr>
        <w:tc>
          <w:tcPr>
            <w:tcW w:w="1418" w:type="dxa"/>
            <w:vMerge w:val="restart"/>
            <w:shd w:val="clear" w:color="auto" w:fill="auto"/>
            <w:noWrap/>
            <w:vAlign w:val="center"/>
            <w:hideMark/>
          </w:tcPr>
          <w:p w14:paraId="61B82A19"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Variables</w:t>
            </w:r>
          </w:p>
        </w:tc>
        <w:tc>
          <w:tcPr>
            <w:tcW w:w="1453" w:type="dxa"/>
            <w:vMerge w:val="restart"/>
            <w:shd w:val="clear" w:color="auto" w:fill="auto"/>
            <w:vAlign w:val="center"/>
            <w:hideMark/>
          </w:tcPr>
          <w:p w14:paraId="7133F6DE"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Lag periods (years)</w:t>
            </w:r>
          </w:p>
        </w:tc>
        <w:tc>
          <w:tcPr>
            <w:tcW w:w="11420" w:type="dxa"/>
            <w:gridSpan w:val="5"/>
            <w:shd w:val="clear" w:color="auto" w:fill="auto"/>
            <w:noWrap/>
            <w:vAlign w:val="center"/>
            <w:hideMark/>
          </w:tcPr>
          <w:p w14:paraId="7192912A" w14:textId="1FDE0455"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Hazard ratios (95% CI)</w:t>
            </w:r>
            <w:r w:rsidR="00844CFA" w:rsidRPr="00AF26FE">
              <w:rPr>
                <w:rFonts w:ascii="Times New Roman" w:eastAsia="等线" w:hAnsi="Times New Roman" w:cs="Times New Roman"/>
                <w:b/>
                <w:bCs/>
                <w:color w:val="000000"/>
                <w:kern w:val="0"/>
                <w:sz w:val="24"/>
                <w:szCs w:val="24"/>
                <w:vertAlign w:val="superscript"/>
              </w:rPr>
              <w:t xml:space="preserve"> a</w:t>
            </w:r>
          </w:p>
        </w:tc>
      </w:tr>
      <w:tr w:rsidR="00AF6DA0" w:rsidRPr="00AF26FE" w14:paraId="3BB43304" w14:textId="77777777" w:rsidTr="00121674">
        <w:trPr>
          <w:trHeight w:val="300"/>
          <w:jc w:val="center"/>
        </w:trPr>
        <w:tc>
          <w:tcPr>
            <w:tcW w:w="1418" w:type="dxa"/>
            <w:vMerge/>
            <w:tcBorders>
              <w:bottom w:val="single" w:sz="4" w:space="0" w:color="auto"/>
            </w:tcBorders>
            <w:vAlign w:val="center"/>
            <w:hideMark/>
          </w:tcPr>
          <w:p w14:paraId="5DF09DC9" w14:textId="77777777" w:rsidR="00AF6DA0" w:rsidRPr="00AF26FE" w:rsidRDefault="00AF6DA0" w:rsidP="00AF6DA0">
            <w:pPr>
              <w:widowControl/>
              <w:jc w:val="left"/>
              <w:rPr>
                <w:rFonts w:ascii="Times New Roman" w:eastAsia="等线" w:hAnsi="Times New Roman" w:cs="Times New Roman"/>
                <w:b/>
                <w:bCs/>
                <w:color w:val="000000"/>
                <w:kern w:val="0"/>
                <w:sz w:val="24"/>
                <w:szCs w:val="24"/>
              </w:rPr>
            </w:pPr>
          </w:p>
        </w:tc>
        <w:tc>
          <w:tcPr>
            <w:tcW w:w="1453" w:type="dxa"/>
            <w:vMerge/>
            <w:tcBorders>
              <w:bottom w:val="single" w:sz="4" w:space="0" w:color="auto"/>
            </w:tcBorders>
            <w:vAlign w:val="center"/>
            <w:hideMark/>
          </w:tcPr>
          <w:p w14:paraId="72E213C3" w14:textId="77777777" w:rsidR="00AF6DA0" w:rsidRPr="00AF26FE" w:rsidRDefault="00AF6DA0" w:rsidP="00AF6DA0">
            <w:pPr>
              <w:widowControl/>
              <w:jc w:val="left"/>
              <w:rPr>
                <w:rFonts w:ascii="Times New Roman" w:eastAsia="等线" w:hAnsi="Times New Roman" w:cs="Times New Roman"/>
                <w:b/>
                <w:bCs/>
                <w:color w:val="000000"/>
                <w:kern w:val="0"/>
                <w:sz w:val="24"/>
                <w:szCs w:val="24"/>
              </w:rPr>
            </w:pPr>
          </w:p>
        </w:tc>
        <w:tc>
          <w:tcPr>
            <w:tcW w:w="2095" w:type="dxa"/>
            <w:tcBorders>
              <w:bottom w:val="single" w:sz="4" w:space="0" w:color="auto"/>
            </w:tcBorders>
            <w:shd w:val="clear" w:color="auto" w:fill="auto"/>
            <w:noWrap/>
            <w:vAlign w:val="center"/>
            <w:hideMark/>
          </w:tcPr>
          <w:p w14:paraId="661D27AF"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Q1 (&lt;123 mmHg)</w:t>
            </w:r>
          </w:p>
        </w:tc>
        <w:tc>
          <w:tcPr>
            <w:tcW w:w="2501" w:type="dxa"/>
            <w:tcBorders>
              <w:bottom w:val="single" w:sz="4" w:space="0" w:color="auto"/>
            </w:tcBorders>
            <w:shd w:val="clear" w:color="auto" w:fill="auto"/>
            <w:noWrap/>
            <w:vAlign w:val="center"/>
            <w:hideMark/>
          </w:tcPr>
          <w:p w14:paraId="07884A8E"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Q2 (123~131 mmHg)</w:t>
            </w:r>
          </w:p>
        </w:tc>
        <w:tc>
          <w:tcPr>
            <w:tcW w:w="2413" w:type="dxa"/>
            <w:tcBorders>
              <w:bottom w:val="single" w:sz="4" w:space="0" w:color="auto"/>
            </w:tcBorders>
            <w:shd w:val="clear" w:color="auto" w:fill="auto"/>
            <w:noWrap/>
            <w:vAlign w:val="center"/>
            <w:hideMark/>
          </w:tcPr>
          <w:p w14:paraId="12A0E53B"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Q3 (131~138 mmHg)</w:t>
            </w:r>
          </w:p>
        </w:tc>
        <w:tc>
          <w:tcPr>
            <w:tcW w:w="2398" w:type="dxa"/>
            <w:tcBorders>
              <w:bottom w:val="single" w:sz="4" w:space="0" w:color="auto"/>
            </w:tcBorders>
            <w:shd w:val="clear" w:color="auto" w:fill="auto"/>
            <w:noWrap/>
            <w:vAlign w:val="center"/>
            <w:hideMark/>
          </w:tcPr>
          <w:p w14:paraId="4186D263"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Q4 (138~148 mmHg)</w:t>
            </w:r>
          </w:p>
        </w:tc>
        <w:tc>
          <w:tcPr>
            <w:tcW w:w="2013" w:type="dxa"/>
            <w:tcBorders>
              <w:bottom w:val="single" w:sz="4" w:space="0" w:color="auto"/>
            </w:tcBorders>
            <w:shd w:val="clear" w:color="auto" w:fill="auto"/>
            <w:noWrap/>
            <w:vAlign w:val="center"/>
            <w:hideMark/>
          </w:tcPr>
          <w:p w14:paraId="6C420484"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Q5 (&gt;148 mmHg)</w:t>
            </w:r>
          </w:p>
        </w:tc>
      </w:tr>
      <w:tr w:rsidR="00AF6DA0" w:rsidRPr="00AF26FE" w14:paraId="7DD8832A" w14:textId="77777777" w:rsidTr="00121674">
        <w:trPr>
          <w:trHeight w:val="310"/>
          <w:jc w:val="center"/>
        </w:trPr>
        <w:tc>
          <w:tcPr>
            <w:tcW w:w="1418" w:type="dxa"/>
            <w:vMerge w:val="restart"/>
            <w:tcBorders>
              <w:top w:val="single" w:sz="4" w:space="0" w:color="auto"/>
              <w:bottom w:val="nil"/>
            </w:tcBorders>
            <w:shd w:val="clear" w:color="auto" w:fill="auto"/>
            <w:vAlign w:val="center"/>
            <w:hideMark/>
          </w:tcPr>
          <w:p w14:paraId="0B15EC0F" w14:textId="2A434314"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 xml:space="preserve">Mean </w:t>
            </w:r>
            <w:r w:rsidR="00121674" w:rsidRPr="00AF26FE">
              <w:rPr>
                <w:rFonts w:ascii="Times New Roman" w:eastAsia="等线" w:hAnsi="Times New Roman" w:cs="Times New Roman"/>
                <w:color w:val="000000"/>
                <w:kern w:val="0"/>
                <w:sz w:val="24"/>
                <w:szCs w:val="24"/>
              </w:rPr>
              <w:t>SBP</w:t>
            </w:r>
          </w:p>
        </w:tc>
        <w:tc>
          <w:tcPr>
            <w:tcW w:w="1453" w:type="dxa"/>
            <w:tcBorders>
              <w:top w:val="single" w:sz="4" w:space="0" w:color="auto"/>
              <w:bottom w:val="nil"/>
            </w:tcBorders>
            <w:shd w:val="clear" w:color="auto" w:fill="auto"/>
            <w:noWrap/>
            <w:vAlign w:val="center"/>
            <w:hideMark/>
          </w:tcPr>
          <w:p w14:paraId="630DB97D"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0</w:t>
            </w:r>
          </w:p>
        </w:tc>
        <w:tc>
          <w:tcPr>
            <w:tcW w:w="2095" w:type="dxa"/>
            <w:tcBorders>
              <w:top w:val="single" w:sz="4" w:space="0" w:color="auto"/>
              <w:bottom w:val="nil"/>
            </w:tcBorders>
            <w:shd w:val="clear" w:color="auto" w:fill="auto"/>
            <w:noWrap/>
            <w:vAlign w:val="center"/>
            <w:hideMark/>
          </w:tcPr>
          <w:p w14:paraId="2091D989"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1.09 (1.00, 1.19)</w:t>
            </w:r>
          </w:p>
        </w:tc>
        <w:tc>
          <w:tcPr>
            <w:tcW w:w="2501" w:type="dxa"/>
            <w:tcBorders>
              <w:top w:val="single" w:sz="4" w:space="0" w:color="auto"/>
              <w:bottom w:val="nil"/>
            </w:tcBorders>
            <w:shd w:val="clear" w:color="auto" w:fill="auto"/>
            <w:noWrap/>
            <w:vAlign w:val="center"/>
            <w:hideMark/>
          </w:tcPr>
          <w:p w14:paraId="1653308B"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1.01 (0.93, 1.11)</w:t>
            </w:r>
          </w:p>
        </w:tc>
        <w:tc>
          <w:tcPr>
            <w:tcW w:w="2413" w:type="dxa"/>
            <w:tcBorders>
              <w:top w:val="single" w:sz="4" w:space="0" w:color="auto"/>
              <w:bottom w:val="nil"/>
            </w:tcBorders>
            <w:shd w:val="clear" w:color="auto" w:fill="auto"/>
            <w:noWrap/>
            <w:vAlign w:val="center"/>
            <w:hideMark/>
          </w:tcPr>
          <w:p w14:paraId="1079FAD3" w14:textId="329823AD"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w:t>
            </w:r>
            <w:r w:rsidR="00844CFA" w:rsidRPr="00AF26FE">
              <w:rPr>
                <w:rFonts w:ascii="Times New Roman" w:eastAsia="等线" w:hAnsi="Times New Roman" w:cs="Times New Roman"/>
                <w:color w:val="000000"/>
                <w:kern w:val="0"/>
                <w:sz w:val="24"/>
                <w:szCs w:val="24"/>
              </w:rPr>
              <w:t>.00 (reference)</w:t>
            </w:r>
          </w:p>
        </w:tc>
        <w:tc>
          <w:tcPr>
            <w:tcW w:w="2398" w:type="dxa"/>
            <w:tcBorders>
              <w:top w:val="single" w:sz="4" w:space="0" w:color="auto"/>
              <w:bottom w:val="nil"/>
            </w:tcBorders>
            <w:shd w:val="clear" w:color="auto" w:fill="auto"/>
            <w:noWrap/>
            <w:vAlign w:val="center"/>
            <w:hideMark/>
          </w:tcPr>
          <w:p w14:paraId="32981837"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0.98 (0.89, 1.07)</w:t>
            </w:r>
          </w:p>
        </w:tc>
        <w:tc>
          <w:tcPr>
            <w:tcW w:w="2013" w:type="dxa"/>
            <w:tcBorders>
              <w:top w:val="single" w:sz="4" w:space="0" w:color="auto"/>
              <w:bottom w:val="nil"/>
            </w:tcBorders>
            <w:shd w:val="clear" w:color="auto" w:fill="auto"/>
            <w:noWrap/>
            <w:vAlign w:val="center"/>
            <w:hideMark/>
          </w:tcPr>
          <w:p w14:paraId="0FE5CC3A"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1.09 (0.99, 1.19)</w:t>
            </w:r>
          </w:p>
        </w:tc>
      </w:tr>
      <w:tr w:rsidR="00AF6DA0" w:rsidRPr="00AF26FE" w14:paraId="7C842A74" w14:textId="77777777" w:rsidTr="00121674">
        <w:trPr>
          <w:trHeight w:val="310"/>
          <w:jc w:val="center"/>
        </w:trPr>
        <w:tc>
          <w:tcPr>
            <w:tcW w:w="1418" w:type="dxa"/>
            <w:vMerge/>
            <w:tcBorders>
              <w:top w:val="nil"/>
            </w:tcBorders>
            <w:vAlign w:val="center"/>
            <w:hideMark/>
          </w:tcPr>
          <w:p w14:paraId="762CE800" w14:textId="77777777" w:rsidR="00AF6DA0" w:rsidRPr="00AF26FE" w:rsidRDefault="00AF6DA0" w:rsidP="00AF6DA0">
            <w:pPr>
              <w:widowControl/>
              <w:jc w:val="left"/>
              <w:rPr>
                <w:rFonts w:ascii="Times New Roman" w:eastAsia="等线" w:hAnsi="Times New Roman" w:cs="Times New Roman"/>
                <w:color w:val="000000"/>
                <w:kern w:val="0"/>
                <w:sz w:val="24"/>
                <w:szCs w:val="24"/>
              </w:rPr>
            </w:pPr>
          </w:p>
        </w:tc>
        <w:tc>
          <w:tcPr>
            <w:tcW w:w="1453" w:type="dxa"/>
            <w:tcBorders>
              <w:top w:val="nil"/>
            </w:tcBorders>
            <w:shd w:val="clear" w:color="auto" w:fill="auto"/>
            <w:noWrap/>
            <w:vAlign w:val="center"/>
            <w:hideMark/>
          </w:tcPr>
          <w:p w14:paraId="33CD510B"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w:t>
            </w:r>
          </w:p>
        </w:tc>
        <w:tc>
          <w:tcPr>
            <w:tcW w:w="2095" w:type="dxa"/>
            <w:tcBorders>
              <w:top w:val="nil"/>
            </w:tcBorders>
            <w:shd w:val="clear" w:color="auto" w:fill="auto"/>
            <w:noWrap/>
            <w:vAlign w:val="center"/>
            <w:hideMark/>
          </w:tcPr>
          <w:p w14:paraId="66AAF560"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1.07 (0.96, 1.20)</w:t>
            </w:r>
          </w:p>
        </w:tc>
        <w:tc>
          <w:tcPr>
            <w:tcW w:w="2501" w:type="dxa"/>
            <w:tcBorders>
              <w:top w:val="nil"/>
            </w:tcBorders>
            <w:shd w:val="clear" w:color="auto" w:fill="auto"/>
            <w:noWrap/>
            <w:vAlign w:val="center"/>
            <w:hideMark/>
          </w:tcPr>
          <w:p w14:paraId="479450AC"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1.01 (0.91, 1.13)</w:t>
            </w:r>
          </w:p>
        </w:tc>
        <w:tc>
          <w:tcPr>
            <w:tcW w:w="2413" w:type="dxa"/>
            <w:tcBorders>
              <w:top w:val="nil"/>
            </w:tcBorders>
            <w:shd w:val="clear" w:color="auto" w:fill="auto"/>
            <w:noWrap/>
            <w:vAlign w:val="center"/>
            <w:hideMark/>
          </w:tcPr>
          <w:p w14:paraId="1FE7A66F" w14:textId="5DB2CB3C"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w:t>
            </w:r>
            <w:r w:rsidR="00844CFA" w:rsidRPr="00AF26FE">
              <w:rPr>
                <w:rFonts w:ascii="Times New Roman" w:eastAsia="等线" w:hAnsi="Times New Roman" w:cs="Times New Roman"/>
                <w:color w:val="000000"/>
                <w:kern w:val="0"/>
                <w:sz w:val="24"/>
                <w:szCs w:val="24"/>
              </w:rPr>
              <w:t>.00 (reference)</w:t>
            </w:r>
          </w:p>
        </w:tc>
        <w:tc>
          <w:tcPr>
            <w:tcW w:w="2398" w:type="dxa"/>
            <w:tcBorders>
              <w:top w:val="nil"/>
            </w:tcBorders>
            <w:shd w:val="clear" w:color="auto" w:fill="auto"/>
            <w:noWrap/>
            <w:vAlign w:val="center"/>
            <w:hideMark/>
          </w:tcPr>
          <w:p w14:paraId="14E8C2E6"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0.98 (0.88, 1.10)</w:t>
            </w:r>
          </w:p>
        </w:tc>
        <w:tc>
          <w:tcPr>
            <w:tcW w:w="2013" w:type="dxa"/>
            <w:tcBorders>
              <w:top w:val="nil"/>
            </w:tcBorders>
            <w:shd w:val="clear" w:color="auto" w:fill="auto"/>
            <w:noWrap/>
            <w:vAlign w:val="center"/>
            <w:hideMark/>
          </w:tcPr>
          <w:p w14:paraId="4089AB79"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1.13 (1.02, 1.26)</w:t>
            </w:r>
          </w:p>
        </w:tc>
      </w:tr>
      <w:tr w:rsidR="00AF6DA0" w:rsidRPr="00AF26FE" w14:paraId="5FFA5D87" w14:textId="77777777" w:rsidTr="00121674">
        <w:trPr>
          <w:trHeight w:val="310"/>
          <w:jc w:val="center"/>
        </w:trPr>
        <w:tc>
          <w:tcPr>
            <w:tcW w:w="1418" w:type="dxa"/>
            <w:vMerge/>
            <w:vAlign w:val="center"/>
            <w:hideMark/>
          </w:tcPr>
          <w:p w14:paraId="755D9AC0" w14:textId="77777777" w:rsidR="00AF6DA0" w:rsidRPr="00AF26FE" w:rsidRDefault="00AF6DA0" w:rsidP="00AF6DA0">
            <w:pPr>
              <w:widowControl/>
              <w:jc w:val="left"/>
              <w:rPr>
                <w:rFonts w:ascii="Times New Roman" w:eastAsia="等线" w:hAnsi="Times New Roman" w:cs="Times New Roman"/>
                <w:color w:val="000000"/>
                <w:kern w:val="0"/>
                <w:sz w:val="24"/>
                <w:szCs w:val="24"/>
              </w:rPr>
            </w:pPr>
          </w:p>
        </w:tc>
        <w:tc>
          <w:tcPr>
            <w:tcW w:w="1453" w:type="dxa"/>
            <w:shd w:val="clear" w:color="auto" w:fill="auto"/>
            <w:noWrap/>
            <w:vAlign w:val="center"/>
            <w:hideMark/>
          </w:tcPr>
          <w:p w14:paraId="2306A645"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2</w:t>
            </w:r>
          </w:p>
        </w:tc>
        <w:tc>
          <w:tcPr>
            <w:tcW w:w="2095" w:type="dxa"/>
            <w:shd w:val="clear" w:color="auto" w:fill="auto"/>
            <w:noWrap/>
            <w:vAlign w:val="center"/>
            <w:hideMark/>
          </w:tcPr>
          <w:p w14:paraId="51257BE8"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1.01 (0.86, 1.19)</w:t>
            </w:r>
          </w:p>
        </w:tc>
        <w:tc>
          <w:tcPr>
            <w:tcW w:w="2501" w:type="dxa"/>
            <w:shd w:val="clear" w:color="auto" w:fill="auto"/>
            <w:noWrap/>
            <w:vAlign w:val="center"/>
            <w:hideMark/>
          </w:tcPr>
          <w:p w14:paraId="260F6121"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1.07 (0.92, 1.26)</w:t>
            </w:r>
          </w:p>
        </w:tc>
        <w:tc>
          <w:tcPr>
            <w:tcW w:w="2413" w:type="dxa"/>
            <w:shd w:val="clear" w:color="auto" w:fill="auto"/>
            <w:noWrap/>
            <w:vAlign w:val="center"/>
            <w:hideMark/>
          </w:tcPr>
          <w:p w14:paraId="370DED68" w14:textId="2F2BA52C"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w:t>
            </w:r>
            <w:r w:rsidR="00844CFA" w:rsidRPr="00AF26FE">
              <w:rPr>
                <w:rFonts w:ascii="Times New Roman" w:eastAsia="等线" w:hAnsi="Times New Roman" w:cs="Times New Roman"/>
                <w:color w:val="000000"/>
                <w:kern w:val="0"/>
                <w:sz w:val="24"/>
                <w:szCs w:val="24"/>
              </w:rPr>
              <w:t>.00 (reference)</w:t>
            </w:r>
          </w:p>
        </w:tc>
        <w:tc>
          <w:tcPr>
            <w:tcW w:w="2398" w:type="dxa"/>
            <w:shd w:val="clear" w:color="auto" w:fill="auto"/>
            <w:noWrap/>
            <w:vAlign w:val="center"/>
            <w:hideMark/>
          </w:tcPr>
          <w:p w14:paraId="2C596E06"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1.00 (0.85, 1.18)</w:t>
            </w:r>
          </w:p>
        </w:tc>
        <w:tc>
          <w:tcPr>
            <w:tcW w:w="2013" w:type="dxa"/>
            <w:shd w:val="clear" w:color="auto" w:fill="auto"/>
            <w:noWrap/>
            <w:vAlign w:val="center"/>
            <w:hideMark/>
          </w:tcPr>
          <w:p w14:paraId="7DDE9B57"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1.26 (1.08, 1.47)</w:t>
            </w:r>
          </w:p>
        </w:tc>
      </w:tr>
      <w:tr w:rsidR="00AF6DA0" w:rsidRPr="00AF26FE" w14:paraId="11FF0517" w14:textId="77777777" w:rsidTr="00121674">
        <w:trPr>
          <w:trHeight w:val="310"/>
          <w:jc w:val="center"/>
        </w:trPr>
        <w:tc>
          <w:tcPr>
            <w:tcW w:w="1418" w:type="dxa"/>
            <w:shd w:val="clear" w:color="auto" w:fill="auto"/>
            <w:vAlign w:val="center"/>
            <w:hideMark/>
          </w:tcPr>
          <w:p w14:paraId="22E2E6E0" w14:textId="77777777" w:rsidR="00AF6DA0" w:rsidRPr="00AF26FE" w:rsidRDefault="00AF6DA0" w:rsidP="00AF6DA0">
            <w:pPr>
              <w:widowControl/>
              <w:jc w:val="center"/>
              <w:rPr>
                <w:rFonts w:ascii="Times New Roman" w:eastAsia="等线" w:hAnsi="Times New Roman" w:cs="Times New Roman"/>
                <w:color w:val="000000"/>
                <w:kern w:val="0"/>
                <w:sz w:val="24"/>
                <w:szCs w:val="24"/>
              </w:rPr>
            </w:pPr>
          </w:p>
        </w:tc>
        <w:tc>
          <w:tcPr>
            <w:tcW w:w="1453" w:type="dxa"/>
            <w:shd w:val="clear" w:color="auto" w:fill="auto"/>
            <w:noWrap/>
            <w:vAlign w:val="center"/>
            <w:hideMark/>
          </w:tcPr>
          <w:p w14:paraId="75BFE940" w14:textId="77777777" w:rsidR="00AF6DA0" w:rsidRPr="00AF26FE" w:rsidRDefault="00AF6DA0" w:rsidP="00AF6DA0">
            <w:pPr>
              <w:widowControl/>
              <w:jc w:val="center"/>
              <w:rPr>
                <w:rFonts w:ascii="Times New Roman" w:eastAsia="Times New Roman" w:hAnsi="Times New Roman" w:cs="Times New Roman"/>
                <w:kern w:val="0"/>
                <w:sz w:val="20"/>
                <w:szCs w:val="20"/>
              </w:rPr>
            </w:pPr>
          </w:p>
        </w:tc>
        <w:tc>
          <w:tcPr>
            <w:tcW w:w="2095" w:type="dxa"/>
            <w:shd w:val="clear" w:color="auto" w:fill="auto"/>
            <w:noWrap/>
            <w:vAlign w:val="center"/>
            <w:hideMark/>
          </w:tcPr>
          <w:p w14:paraId="5E644032"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Q1 (&lt;-5.1 %/year)</w:t>
            </w:r>
          </w:p>
        </w:tc>
        <w:tc>
          <w:tcPr>
            <w:tcW w:w="2501" w:type="dxa"/>
            <w:shd w:val="clear" w:color="auto" w:fill="auto"/>
            <w:noWrap/>
            <w:vAlign w:val="center"/>
            <w:hideMark/>
          </w:tcPr>
          <w:p w14:paraId="46FFB96C"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Q2 (-5.1~-1.5 %/year)</w:t>
            </w:r>
          </w:p>
        </w:tc>
        <w:tc>
          <w:tcPr>
            <w:tcW w:w="2413" w:type="dxa"/>
            <w:shd w:val="clear" w:color="auto" w:fill="auto"/>
            <w:noWrap/>
            <w:vAlign w:val="center"/>
            <w:hideMark/>
          </w:tcPr>
          <w:p w14:paraId="5B79365B"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Q3 (-1.5~1.6 %/year)</w:t>
            </w:r>
          </w:p>
        </w:tc>
        <w:tc>
          <w:tcPr>
            <w:tcW w:w="2398" w:type="dxa"/>
            <w:shd w:val="clear" w:color="auto" w:fill="auto"/>
            <w:noWrap/>
            <w:vAlign w:val="center"/>
            <w:hideMark/>
          </w:tcPr>
          <w:p w14:paraId="54271DE5"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Q4 (1.6~5.3 %/year)</w:t>
            </w:r>
          </w:p>
        </w:tc>
        <w:tc>
          <w:tcPr>
            <w:tcW w:w="2013" w:type="dxa"/>
            <w:shd w:val="clear" w:color="auto" w:fill="auto"/>
            <w:noWrap/>
            <w:vAlign w:val="center"/>
            <w:hideMark/>
          </w:tcPr>
          <w:p w14:paraId="7BB2B60D" w14:textId="77777777" w:rsidR="00AF6DA0" w:rsidRPr="00AF26FE" w:rsidRDefault="00AF6DA0" w:rsidP="00AF6DA0">
            <w:pPr>
              <w:widowControl/>
              <w:jc w:val="center"/>
              <w:rPr>
                <w:rFonts w:ascii="Times New Roman" w:eastAsia="等线" w:hAnsi="Times New Roman" w:cs="Times New Roman"/>
                <w:b/>
                <w:bCs/>
                <w:color w:val="000000"/>
                <w:kern w:val="0"/>
                <w:sz w:val="24"/>
                <w:szCs w:val="24"/>
              </w:rPr>
            </w:pPr>
            <w:r w:rsidRPr="00AF26FE">
              <w:rPr>
                <w:rFonts w:ascii="Times New Roman" w:eastAsia="等线" w:hAnsi="Times New Roman" w:cs="Times New Roman"/>
                <w:b/>
                <w:bCs/>
                <w:color w:val="000000"/>
                <w:kern w:val="0"/>
                <w:sz w:val="24"/>
                <w:szCs w:val="24"/>
              </w:rPr>
              <w:t>Q5 (&gt;5.3 %/year)</w:t>
            </w:r>
          </w:p>
        </w:tc>
      </w:tr>
      <w:tr w:rsidR="00AF6DA0" w:rsidRPr="00AF26FE" w14:paraId="537C11B6" w14:textId="77777777" w:rsidTr="00121674">
        <w:trPr>
          <w:trHeight w:val="310"/>
          <w:jc w:val="center"/>
        </w:trPr>
        <w:tc>
          <w:tcPr>
            <w:tcW w:w="1418" w:type="dxa"/>
            <w:vMerge w:val="restart"/>
            <w:shd w:val="clear" w:color="auto" w:fill="auto"/>
            <w:vAlign w:val="center"/>
            <w:hideMark/>
          </w:tcPr>
          <w:p w14:paraId="7F72FA46" w14:textId="053622BF" w:rsidR="00AF6DA0" w:rsidRPr="00AF26FE" w:rsidRDefault="00121674"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SBPV</w:t>
            </w:r>
          </w:p>
        </w:tc>
        <w:tc>
          <w:tcPr>
            <w:tcW w:w="1453" w:type="dxa"/>
            <w:shd w:val="clear" w:color="auto" w:fill="auto"/>
            <w:noWrap/>
            <w:vAlign w:val="center"/>
            <w:hideMark/>
          </w:tcPr>
          <w:p w14:paraId="78F85519"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0</w:t>
            </w:r>
          </w:p>
        </w:tc>
        <w:tc>
          <w:tcPr>
            <w:tcW w:w="2095" w:type="dxa"/>
            <w:shd w:val="clear" w:color="auto" w:fill="auto"/>
            <w:noWrap/>
            <w:vAlign w:val="center"/>
            <w:hideMark/>
          </w:tcPr>
          <w:p w14:paraId="69E5A215"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1.18 (1.08, 1.29)</w:t>
            </w:r>
          </w:p>
        </w:tc>
        <w:tc>
          <w:tcPr>
            <w:tcW w:w="2501" w:type="dxa"/>
            <w:shd w:val="clear" w:color="auto" w:fill="auto"/>
            <w:noWrap/>
            <w:vAlign w:val="center"/>
            <w:hideMark/>
          </w:tcPr>
          <w:p w14:paraId="2987DF2A"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1.12 (1.02, 1.22)</w:t>
            </w:r>
          </w:p>
        </w:tc>
        <w:tc>
          <w:tcPr>
            <w:tcW w:w="2413" w:type="dxa"/>
            <w:shd w:val="clear" w:color="auto" w:fill="auto"/>
            <w:noWrap/>
            <w:vAlign w:val="center"/>
            <w:hideMark/>
          </w:tcPr>
          <w:p w14:paraId="5C89186F" w14:textId="386C63CC"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w:t>
            </w:r>
            <w:r w:rsidR="00844CFA" w:rsidRPr="00AF26FE">
              <w:rPr>
                <w:rFonts w:ascii="Times New Roman" w:eastAsia="等线" w:hAnsi="Times New Roman" w:cs="Times New Roman"/>
                <w:color w:val="000000"/>
                <w:kern w:val="0"/>
                <w:sz w:val="24"/>
                <w:szCs w:val="24"/>
              </w:rPr>
              <w:t>.00 (reference)</w:t>
            </w:r>
          </w:p>
        </w:tc>
        <w:tc>
          <w:tcPr>
            <w:tcW w:w="2398" w:type="dxa"/>
            <w:shd w:val="clear" w:color="auto" w:fill="auto"/>
            <w:noWrap/>
            <w:vAlign w:val="center"/>
            <w:hideMark/>
          </w:tcPr>
          <w:p w14:paraId="127B53C9"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1.04 (0.95, 1.14)</w:t>
            </w:r>
          </w:p>
        </w:tc>
        <w:tc>
          <w:tcPr>
            <w:tcW w:w="2013" w:type="dxa"/>
            <w:shd w:val="clear" w:color="auto" w:fill="auto"/>
            <w:noWrap/>
            <w:vAlign w:val="center"/>
            <w:hideMark/>
          </w:tcPr>
          <w:p w14:paraId="204A0A5B"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1.09 (0.99, 1.19)</w:t>
            </w:r>
          </w:p>
        </w:tc>
      </w:tr>
      <w:tr w:rsidR="00AF6DA0" w:rsidRPr="00AF26FE" w14:paraId="0496569A" w14:textId="77777777" w:rsidTr="00121674">
        <w:trPr>
          <w:trHeight w:val="310"/>
          <w:jc w:val="center"/>
        </w:trPr>
        <w:tc>
          <w:tcPr>
            <w:tcW w:w="1418" w:type="dxa"/>
            <w:vMerge/>
            <w:vAlign w:val="center"/>
            <w:hideMark/>
          </w:tcPr>
          <w:p w14:paraId="59C045FD" w14:textId="77777777" w:rsidR="00AF6DA0" w:rsidRPr="00AF26FE" w:rsidRDefault="00AF6DA0" w:rsidP="00AF6DA0">
            <w:pPr>
              <w:widowControl/>
              <w:jc w:val="left"/>
              <w:rPr>
                <w:rFonts w:ascii="Times New Roman" w:eastAsia="等线" w:hAnsi="Times New Roman" w:cs="Times New Roman"/>
                <w:color w:val="000000"/>
                <w:kern w:val="0"/>
                <w:sz w:val="24"/>
                <w:szCs w:val="24"/>
              </w:rPr>
            </w:pPr>
          </w:p>
        </w:tc>
        <w:tc>
          <w:tcPr>
            <w:tcW w:w="1453" w:type="dxa"/>
            <w:shd w:val="clear" w:color="auto" w:fill="auto"/>
            <w:noWrap/>
            <w:vAlign w:val="center"/>
            <w:hideMark/>
          </w:tcPr>
          <w:p w14:paraId="4049D0B4"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w:t>
            </w:r>
          </w:p>
        </w:tc>
        <w:tc>
          <w:tcPr>
            <w:tcW w:w="2095" w:type="dxa"/>
            <w:shd w:val="clear" w:color="auto" w:fill="auto"/>
            <w:noWrap/>
            <w:vAlign w:val="center"/>
            <w:hideMark/>
          </w:tcPr>
          <w:p w14:paraId="6AD86267"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1.16 (1.04, 1.29)</w:t>
            </w:r>
          </w:p>
        </w:tc>
        <w:tc>
          <w:tcPr>
            <w:tcW w:w="2501" w:type="dxa"/>
            <w:shd w:val="clear" w:color="auto" w:fill="auto"/>
            <w:noWrap/>
            <w:vAlign w:val="center"/>
            <w:hideMark/>
          </w:tcPr>
          <w:p w14:paraId="0A440188"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1.12 (1.00, 1.24)</w:t>
            </w:r>
          </w:p>
        </w:tc>
        <w:tc>
          <w:tcPr>
            <w:tcW w:w="2413" w:type="dxa"/>
            <w:shd w:val="clear" w:color="auto" w:fill="auto"/>
            <w:noWrap/>
            <w:vAlign w:val="center"/>
            <w:hideMark/>
          </w:tcPr>
          <w:p w14:paraId="6DFB7879" w14:textId="313D68A5"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w:t>
            </w:r>
            <w:r w:rsidR="00844CFA" w:rsidRPr="00AF26FE">
              <w:rPr>
                <w:rFonts w:ascii="Times New Roman" w:eastAsia="等线" w:hAnsi="Times New Roman" w:cs="Times New Roman"/>
                <w:color w:val="000000"/>
                <w:kern w:val="0"/>
                <w:sz w:val="24"/>
                <w:szCs w:val="24"/>
              </w:rPr>
              <w:t>.00 (reference)</w:t>
            </w:r>
          </w:p>
        </w:tc>
        <w:tc>
          <w:tcPr>
            <w:tcW w:w="2398" w:type="dxa"/>
            <w:shd w:val="clear" w:color="auto" w:fill="auto"/>
            <w:noWrap/>
            <w:vAlign w:val="center"/>
            <w:hideMark/>
          </w:tcPr>
          <w:p w14:paraId="6349B164"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0.99 (0.89, 1.11)</w:t>
            </w:r>
          </w:p>
        </w:tc>
        <w:tc>
          <w:tcPr>
            <w:tcW w:w="2013" w:type="dxa"/>
            <w:shd w:val="clear" w:color="auto" w:fill="auto"/>
            <w:noWrap/>
            <w:vAlign w:val="center"/>
            <w:hideMark/>
          </w:tcPr>
          <w:p w14:paraId="1D2737DA"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1.07 (0.96, 1.19)</w:t>
            </w:r>
          </w:p>
        </w:tc>
      </w:tr>
      <w:tr w:rsidR="00AF6DA0" w:rsidRPr="00AF26FE" w14:paraId="3473E5C7" w14:textId="77777777" w:rsidTr="00121674">
        <w:trPr>
          <w:trHeight w:val="310"/>
          <w:jc w:val="center"/>
        </w:trPr>
        <w:tc>
          <w:tcPr>
            <w:tcW w:w="1418" w:type="dxa"/>
            <w:vMerge/>
            <w:vAlign w:val="center"/>
            <w:hideMark/>
          </w:tcPr>
          <w:p w14:paraId="16851276" w14:textId="77777777" w:rsidR="00AF6DA0" w:rsidRPr="00AF26FE" w:rsidRDefault="00AF6DA0" w:rsidP="00AF6DA0">
            <w:pPr>
              <w:widowControl/>
              <w:jc w:val="left"/>
              <w:rPr>
                <w:rFonts w:ascii="Times New Roman" w:eastAsia="等线" w:hAnsi="Times New Roman" w:cs="Times New Roman"/>
                <w:color w:val="000000"/>
                <w:kern w:val="0"/>
                <w:sz w:val="24"/>
                <w:szCs w:val="24"/>
              </w:rPr>
            </w:pPr>
          </w:p>
        </w:tc>
        <w:tc>
          <w:tcPr>
            <w:tcW w:w="1453" w:type="dxa"/>
            <w:shd w:val="clear" w:color="auto" w:fill="auto"/>
            <w:noWrap/>
            <w:vAlign w:val="center"/>
            <w:hideMark/>
          </w:tcPr>
          <w:p w14:paraId="0A21FB68"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2</w:t>
            </w:r>
          </w:p>
        </w:tc>
        <w:tc>
          <w:tcPr>
            <w:tcW w:w="2095" w:type="dxa"/>
            <w:shd w:val="clear" w:color="auto" w:fill="auto"/>
            <w:noWrap/>
            <w:vAlign w:val="center"/>
            <w:hideMark/>
          </w:tcPr>
          <w:p w14:paraId="54B683A5"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1.25 (1.06, 1.46)</w:t>
            </w:r>
          </w:p>
        </w:tc>
        <w:tc>
          <w:tcPr>
            <w:tcW w:w="2501" w:type="dxa"/>
            <w:shd w:val="clear" w:color="auto" w:fill="auto"/>
            <w:noWrap/>
            <w:vAlign w:val="center"/>
            <w:hideMark/>
          </w:tcPr>
          <w:p w14:paraId="78E539FD"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1.17 (0.99, 1.37)</w:t>
            </w:r>
          </w:p>
        </w:tc>
        <w:tc>
          <w:tcPr>
            <w:tcW w:w="2413" w:type="dxa"/>
            <w:shd w:val="clear" w:color="auto" w:fill="auto"/>
            <w:noWrap/>
            <w:vAlign w:val="center"/>
            <w:hideMark/>
          </w:tcPr>
          <w:p w14:paraId="0CEE9214" w14:textId="1BE44C1F"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w:t>
            </w:r>
            <w:r w:rsidR="00844CFA" w:rsidRPr="00AF26FE">
              <w:rPr>
                <w:rFonts w:ascii="Times New Roman" w:eastAsia="等线" w:hAnsi="Times New Roman" w:cs="Times New Roman"/>
                <w:color w:val="000000"/>
                <w:kern w:val="0"/>
                <w:sz w:val="24"/>
                <w:szCs w:val="24"/>
              </w:rPr>
              <w:t>.00 (reference)</w:t>
            </w:r>
          </w:p>
        </w:tc>
        <w:tc>
          <w:tcPr>
            <w:tcW w:w="2398" w:type="dxa"/>
            <w:shd w:val="clear" w:color="auto" w:fill="auto"/>
            <w:noWrap/>
            <w:vAlign w:val="center"/>
            <w:hideMark/>
          </w:tcPr>
          <w:p w14:paraId="3766C3C9"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0.99 (0.84, 1.16)</w:t>
            </w:r>
          </w:p>
        </w:tc>
        <w:tc>
          <w:tcPr>
            <w:tcW w:w="2013" w:type="dxa"/>
            <w:shd w:val="clear" w:color="auto" w:fill="auto"/>
            <w:noWrap/>
            <w:vAlign w:val="center"/>
            <w:hideMark/>
          </w:tcPr>
          <w:p w14:paraId="7C71CA89" w14:textId="77777777" w:rsidR="00AF6DA0" w:rsidRPr="00AF26FE" w:rsidRDefault="00AF6DA0" w:rsidP="00AF6DA0">
            <w:pPr>
              <w:widowControl/>
              <w:jc w:val="center"/>
              <w:rPr>
                <w:rFonts w:ascii="Times New Roman" w:eastAsia="等线" w:hAnsi="Times New Roman" w:cs="Times New Roman"/>
                <w:color w:val="000000"/>
                <w:kern w:val="0"/>
                <w:sz w:val="24"/>
                <w:szCs w:val="24"/>
              </w:rPr>
            </w:pPr>
            <w:r w:rsidRPr="00AF26FE">
              <w:rPr>
                <w:rFonts w:ascii="Times New Roman" w:eastAsia="等线" w:hAnsi="Times New Roman" w:cs="Times New Roman"/>
                <w:color w:val="000000"/>
                <w:kern w:val="0"/>
                <w:sz w:val="24"/>
                <w:szCs w:val="24"/>
              </w:rPr>
              <w:t>1.18 (1.01, 1.38)</w:t>
            </w:r>
          </w:p>
        </w:tc>
      </w:tr>
    </w:tbl>
    <w:p w14:paraId="32CCC74A" w14:textId="6F18F99A" w:rsidR="00844CFA" w:rsidRPr="00AF26FE" w:rsidRDefault="00844CFA" w:rsidP="00AF6DA0">
      <w:pPr>
        <w:rPr>
          <w:rFonts w:ascii="Times New Roman" w:hAnsi="Times New Roman" w:cs="Times New Roman"/>
          <w:sz w:val="20"/>
          <w:szCs w:val="20"/>
        </w:rPr>
        <w:sectPr w:rsidR="00844CFA" w:rsidRPr="00AF26FE" w:rsidSect="00AF6DA0">
          <w:pgSz w:w="16838" w:h="11906" w:orient="landscape"/>
          <w:pgMar w:top="1800" w:right="1440" w:bottom="1800" w:left="1440" w:header="851" w:footer="992" w:gutter="0"/>
          <w:cols w:space="425"/>
          <w:docGrid w:type="lines" w:linePitch="312"/>
        </w:sectPr>
      </w:pPr>
      <w:proofErr w:type="spellStart"/>
      <w:r w:rsidRPr="00AF26FE">
        <w:rPr>
          <w:rFonts w:ascii="Times New Roman" w:hAnsi="Times New Roman" w:cs="Times New Roman"/>
          <w:sz w:val="20"/>
          <w:szCs w:val="20"/>
          <w:vertAlign w:val="superscript"/>
        </w:rPr>
        <w:t>a</w:t>
      </w:r>
      <w:proofErr w:type="spellEnd"/>
      <w:r w:rsidRPr="00AF26FE">
        <w:rPr>
          <w:rFonts w:ascii="Times New Roman" w:hAnsi="Times New Roman" w:cs="Times New Roman"/>
          <w:sz w:val="20"/>
          <w:szCs w:val="20"/>
        </w:rPr>
        <w:t xml:space="preserve"> With adjustment for age, sex, body mass index, educational background, economic income, smoking status, alcohol consumption, visual status, mild cognitive impairment, restriction in activities of daily living, comorbidity, and cohort at updated baseline. </w:t>
      </w:r>
    </w:p>
    <w:p w14:paraId="2DAF2A02" w14:textId="51524835" w:rsidR="00AF6DA0" w:rsidRPr="00AF26FE" w:rsidRDefault="00D04525" w:rsidP="00AF6DA0">
      <w:pPr>
        <w:rPr>
          <w:rFonts w:ascii="Times New Roman" w:hAnsi="Times New Roman" w:cs="Times New Roman"/>
          <w:sz w:val="24"/>
          <w:szCs w:val="24"/>
        </w:rPr>
      </w:pPr>
      <w:r w:rsidRPr="00AF26FE">
        <w:rPr>
          <w:rFonts w:ascii="Times New Roman" w:hAnsi="Times New Roman" w:cs="Times New Roman"/>
          <w:b/>
          <w:bCs/>
          <w:kern w:val="0"/>
          <w:sz w:val="24"/>
          <w:szCs w:val="24"/>
        </w:rPr>
        <w:lastRenderedPageBreak/>
        <w:t>e</w:t>
      </w:r>
      <w:r w:rsidR="00506DC4">
        <w:rPr>
          <w:rFonts w:ascii="Times New Roman" w:hAnsi="Times New Roman" w:cs="Times New Roman"/>
          <w:b/>
          <w:bCs/>
          <w:kern w:val="0"/>
          <w:sz w:val="24"/>
          <w:szCs w:val="24"/>
        </w:rPr>
        <w:t>-</w:t>
      </w:r>
      <w:r w:rsidR="00AF6DA0" w:rsidRPr="00AF26FE">
        <w:rPr>
          <w:rFonts w:ascii="Times New Roman" w:hAnsi="Times New Roman" w:cs="Times New Roman"/>
          <w:b/>
          <w:bCs/>
          <w:sz w:val="24"/>
          <w:szCs w:val="24"/>
        </w:rPr>
        <w:t xml:space="preserve">Figure </w:t>
      </w:r>
      <w:r w:rsidR="002C305F">
        <w:rPr>
          <w:rFonts w:ascii="Times New Roman" w:hAnsi="Times New Roman" w:cs="Times New Roman"/>
          <w:b/>
          <w:bCs/>
          <w:sz w:val="24"/>
          <w:szCs w:val="24"/>
        </w:rPr>
        <w:t>4</w:t>
      </w:r>
      <w:r w:rsidR="00AF6DA0" w:rsidRPr="00AF26FE">
        <w:rPr>
          <w:rFonts w:ascii="Times New Roman" w:hAnsi="Times New Roman" w:cs="Times New Roman"/>
          <w:sz w:val="24"/>
          <w:szCs w:val="24"/>
        </w:rPr>
        <w:t xml:space="preserve">. </w:t>
      </w:r>
      <w:r w:rsidR="00072F7D" w:rsidRPr="00AF26FE">
        <w:rPr>
          <w:rFonts w:ascii="Times New Roman" w:hAnsi="Times New Roman" w:cs="Times New Roman"/>
          <w:sz w:val="24"/>
          <w:szCs w:val="24"/>
        </w:rPr>
        <w:t xml:space="preserve">Associations of categorized mean systolic blood pressure (mean SBP) </w:t>
      </w:r>
      <w:r w:rsidR="00350A82" w:rsidRPr="00AF26FE">
        <w:rPr>
          <w:rFonts w:ascii="Times New Roman" w:hAnsi="Times New Roman" w:cs="Times New Roman"/>
          <w:sz w:val="24"/>
          <w:szCs w:val="24"/>
        </w:rPr>
        <w:t>and</w:t>
      </w:r>
      <w:r w:rsidR="00072F7D" w:rsidRPr="00AF26FE">
        <w:rPr>
          <w:rFonts w:ascii="Times New Roman" w:hAnsi="Times New Roman" w:cs="Times New Roman"/>
          <w:sz w:val="24"/>
          <w:szCs w:val="24"/>
        </w:rPr>
        <w:t xml:space="preserve"> systolic blood pressure variability (SBPV) and all-cause mortality, using different lag periods </w:t>
      </w:r>
      <w:r w:rsidR="00C366A2" w:rsidRPr="00AF26FE">
        <w:rPr>
          <w:rFonts w:ascii="Times New Roman" w:hAnsi="Times New Roman" w:cs="Times New Roman"/>
          <w:sz w:val="24"/>
          <w:szCs w:val="24"/>
        </w:rPr>
        <w:t xml:space="preserve">after </w:t>
      </w:r>
      <w:r w:rsidR="00072F7D" w:rsidRPr="00AF26FE">
        <w:rPr>
          <w:rFonts w:ascii="Times New Roman" w:hAnsi="Times New Roman" w:cs="Times New Roman"/>
          <w:sz w:val="24"/>
          <w:szCs w:val="24"/>
        </w:rPr>
        <w:t>using multiple imputations to account for missing covariates.</w:t>
      </w:r>
    </w:p>
    <w:p w14:paraId="0A61E311" w14:textId="64A827C9" w:rsidR="00AF6DA0" w:rsidRPr="00AF26FE" w:rsidRDefault="00AF6DA0" w:rsidP="00072F7D">
      <w:pPr>
        <w:jc w:val="center"/>
        <w:rPr>
          <w:rFonts w:ascii="Times New Roman" w:hAnsi="Times New Roman" w:cs="Times New Roman"/>
          <w:sz w:val="24"/>
          <w:szCs w:val="24"/>
        </w:rPr>
      </w:pPr>
      <w:r w:rsidRPr="00AF26FE">
        <w:rPr>
          <w:rFonts w:ascii="Times New Roman" w:hAnsi="Times New Roman" w:cs="Times New Roman"/>
          <w:noProof/>
          <w:sz w:val="24"/>
          <w:szCs w:val="24"/>
        </w:rPr>
        <w:drawing>
          <wp:inline distT="0" distB="0" distL="0" distR="0" wp14:anchorId="47AADD32" wp14:editId="4C3FC5F5">
            <wp:extent cx="6964070" cy="3943510"/>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24828" cy="3977915"/>
                    </a:xfrm>
                    <a:prstGeom prst="rect">
                      <a:avLst/>
                    </a:prstGeom>
                    <a:noFill/>
                    <a:ln>
                      <a:noFill/>
                    </a:ln>
                  </pic:spPr>
                </pic:pic>
              </a:graphicData>
            </a:graphic>
          </wp:inline>
        </w:drawing>
      </w:r>
    </w:p>
    <w:p w14:paraId="25C982C7" w14:textId="77777777" w:rsidR="00121674" w:rsidRPr="00AF26FE" w:rsidRDefault="00121674" w:rsidP="00121674">
      <w:pPr>
        <w:rPr>
          <w:rFonts w:ascii="Times New Roman" w:hAnsi="Times New Roman" w:cs="Times New Roman"/>
          <w:sz w:val="20"/>
          <w:szCs w:val="20"/>
        </w:rPr>
      </w:pPr>
      <w:r w:rsidRPr="00AF26FE">
        <w:rPr>
          <w:rFonts w:ascii="Times New Roman" w:hAnsi="Times New Roman" w:cs="Times New Roman"/>
          <w:b/>
          <w:bCs/>
          <w:sz w:val="20"/>
          <w:szCs w:val="20"/>
        </w:rPr>
        <w:t>Note</w:t>
      </w:r>
      <w:r w:rsidRPr="00AF26FE">
        <w:rPr>
          <w:rFonts w:ascii="Times New Roman" w:hAnsi="Times New Roman" w:cs="Times New Roman"/>
          <w:sz w:val="20"/>
          <w:szCs w:val="20"/>
        </w:rPr>
        <w:t>. Hazard ratios were adjusted for age, sex, body mass index, educational background, economic income, smoking status, alcohol consumption, visual status, mild cognitive impairment, restriction in activities of daily living, comorbidity, and cohort at updated baseline.</w:t>
      </w:r>
    </w:p>
    <w:p w14:paraId="220B47AD" w14:textId="7A7AA4F4" w:rsidR="00121674" w:rsidRPr="00AF26FE" w:rsidRDefault="00121674" w:rsidP="00121674">
      <w:pPr>
        <w:rPr>
          <w:rFonts w:ascii="Times New Roman" w:hAnsi="Times New Roman" w:cs="Times New Roman"/>
          <w:sz w:val="20"/>
          <w:szCs w:val="20"/>
        </w:rPr>
      </w:pPr>
      <w:r w:rsidRPr="00AF26FE">
        <w:rPr>
          <w:rFonts w:ascii="Times New Roman" w:hAnsi="Times New Roman" w:cs="Times New Roman"/>
          <w:sz w:val="20"/>
          <w:szCs w:val="20"/>
        </w:rPr>
        <w:t>Quintile was defined as: Q1 (&lt;123 mmHg), Q2 (123~131 mmHg), Q3 (131~138 mmHg), Q4 (138~148 mmHg), and Q5 (&gt;148 mmHg) for mean SBP; Q1 (&lt;-5.1 %/year), Q2 (-5.1~-1.5 %/year), Q3 (-1.5~1.6 %/year), Q4 (1.6~5.3 %/year), and Q5 (&gt;5.3 %/year) for SBPV.</w:t>
      </w:r>
    </w:p>
    <w:sectPr w:rsidR="00121674" w:rsidRPr="00AF26FE" w:rsidSect="00072F7D">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B268E" w14:textId="77777777" w:rsidR="002E3167" w:rsidRDefault="002E3167" w:rsidP="008152E3">
      <w:r>
        <w:separator/>
      </w:r>
    </w:p>
  </w:endnote>
  <w:endnote w:type="continuationSeparator" w:id="0">
    <w:p w14:paraId="6E179EFF" w14:textId="77777777" w:rsidR="002E3167" w:rsidRDefault="002E3167" w:rsidP="00815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10051F" w14:textId="77777777" w:rsidR="002E3167" w:rsidRDefault="002E3167" w:rsidP="008152E3">
      <w:r>
        <w:separator/>
      </w:r>
    </w:p>
  </w:footnote>
  <w:footnote w:type="continuationSeparator" w:id="0">
    <w:p w14:paraId="63A93533" w14:textId="77777777" w:rsidR="002E3167" w:rsidRDefault="002E3167" w:rsidP="008152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BD5"/>
    <w:rsid w:val="000250E5"/>
    <w:rsid w:val="0002643A"/>
    <w:rsid w:val="00034088"/>
    <w:rsid w:val="000649A5"/>
    <w:rsid w:val="00065A67"/>
    <w:rsid w:val="00070B56"/>
    <w:rsid w:val="00072F7D"/>
    <w:rsid w:val="00077741"/>
    <w:rsid w:val="00085474"/>
    <w:rsid w:val="000A0CE3"/>
    <w:rsid w:val="000B6727"/>
    <w:rsid w:val="000C1F02"/>
    <w:rsid w:val="000C77E3"/>
    <w:rsid w:val="00103F25"/>
    <w:rsid w:val="00121674"/>
    <w:rsid w:val="0016691C"/>
    <w:rsid w:val="00175DFE"/>
    <w:rsid w:val="001B0AD2"/>
    <w:rsid w:val="001B2F7A"/>
    <w:rsid w:val="001F41A9"/>
    <w:rsid w:val="00206C17"/>
    <w:rsid w:val="002531FE"/>
    <w:rsid w:val="00262E0A"/>
    <w:rsid w:val="002C305F"/>
    <w:rsid w:val="002D022C"/>
    <w:rsid w:val="002E3167"/>
    <w:rsid w:val="00301F2A"/>
    <w:rsid w:val="00302C3C"/>
    <w:rsid w:val="00306FDF"/>
    <w:rsid w:val="00323376"/>
    <w:rsid w:val="00340A8D"/>
    <w:rsid w:val="00350A82"/>
    <w:rsid w:val="0035553C"/>
    <w:rsid w:val="00360161"/>
    <w:rsid w:val="00371175"/>
    <w:rsid w:val="0037279D"/>
    <w:rsid w:val="003B1338"/>
    <w:rsid w:val="003C341F"/>
    <w:rsid w:val="003E399D"/>
    <w:rsid w:val="003F1195"/>
    <w:rsid w:val="003F23D4"/>
    <w:rsid w:val="003F3F4E"/>
    <w:rsid w:val="00421708"/>
    <w:rsid w:val="00426BDB"/>
    <w:rsid w:val="00455FA4"/>
    <w:rsid w:val="004812D3"/>
    <w:rsid w:val="0049330D"/>
    <w:rsid w:val="004A40C4"/>
    <w:rsid w:val="004C0E3A"/>
    <w:rsid w:val="004C204B"/>
    <w:rsid w:val="004E38AA"/>
    <w:rsid w:val="00506DC4"/>
    <w:rsid w:val="00511967"/>
    <w:rsid w:val="0051278D"/>
    <w:rsid w:val="00524F83"/>
    <w:rsid w:val="00526797"/>
    <w:rsid w:val="00532B5B"/>
    <w:rsid w:val="005611D3"/>
    <w:rsid w:val="005616F0"/>
    <w:rsid w:val="0062642F"/>
    <w:rsid w:val="0063653A"/>
    <w:rsid w:val="006722A7"/>
    <w:rsid w:val="006B5F83"/>
    <w:rsid w:val="006D0E3A"/>
    <w:rsid w:val="006E779A"/>
    <w:rsid w:val="006F208B"/>
    <w:rsid w:val="00721D26"/>
    <w:rsid w:val="00755F97"/>
    <w:rsid w:val="0076001D"/>
    <w:rsid w:val="00793702"/>
    <w:rsid w:val="007A4773"/>
    <w:rsid w:val="00801AAF"/>
    <w:rsid w:val="008152E3"/>
    <w:rsid w:val="0082578F"/>
    <w:rsid w:val="00844CFA"/>
    <w:rsid w:val="00860941"/>
    <w:rsid w:val="008912A7"/>
    <w:rsid w:val="008B00A4"/>
    <w:rsid w:val="008D4235"/>
    <w:rsid w:val="00915E79"/>
    <w:rsid w:val="009341C3"/>
    <w:rsid w:val="00976703"/>
    <w:rsid w:val="00995DD5"/>
    <w:rsid w:val="009A6299"/>
    <w:rsid w:val="009E3BD5"/>
    <w:rsid w:val="00A30177"/>
    <w:rsid w:val="00A31FE7"/>
    <w:rsid w:val="00A4501B"/>
    <w:rsid w:val="00A4668D"/>
    <w:rsid w:val="00A550CA"/>
    <w:rsid w:val="00A62A43"/>
    <w:rsid w:val="00AB2540"/>
    <w:rsid w:val="00AC26D8"/>
    <w:rsid w:val="00AE01AE"/>
    <w:rsid w:val="00AF26FE"/>
    <w:rsid w:val="00AF6DA0"/>
    <w:rsid w:val="00B0784C"/>
    <w:rsid w:val="00B07DB6"/>
    <w:rsid w:val="00B541F2"/>
    <w:rsid w:val="00B70EAF"/>
    <w:rsid w:val="00B8570D"/>
    <w:rsid w:val="00C30AD7"/>
    <w:rsid w:val="00C366A2"/>
    <w:rsid w:val="00C40F1E"/>
    <w:rsid w:val="00C6317C"/>
    <w:rsid w:val="00C962B3"/>
    <w:rsid w:val="00CB7B1D"/>
    <w:rsid w:val="00CD5286"/>
    <w:rsid w:val="00CD6273"/>
    <w:rsid w:val="00CE6F5F"/>
    <w:rsid w:val="00CF6782"/>
    <w:rsid w:val="00CF6C08"/>
    <w:rsid w:val="00D04525"/>
    <w:rsid w:val="00D2235D"/>
    <w:rsid w:val="00D23A43"/>
    <w:rsid w:val="00D40338"/>
    <w:rsid w:val="00D725F4"/>
    <w:rsid w:val="00DA5065"/>
    <w:rsid w:val="00DB7243"/>
    <w:rsid w:val="00E46BA7"/>
    <w:rsid w:val="00E6198C"/>
    <w:rsid w:val="00E64953"/>
    <w:rsid w:val="00E71A04"/>
    <w:rsid w:val="00EC5AE9"/>
    <w:rsid w:val="00ED0483"/>
    <w:rsid w:val="00F47FFA"/>
    <w:rsid w:val="00F85CBC"/>
    <w:rsid w:val="00FC7924"/>
    <w:rsid w:val="00FD5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E1F4DE"/>
  <w15:chartTrackingRefBased/>
  <w15:docId w15:val="{E94FF6F5-6327-4EC8-BBBF-56582C6D6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52E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152E3"/>
    <w:rPr>
      <w:sz w:val="18"/>
      <w:szCs w:val="18"/>
    </w:rPr>
  </w:style>
  <w:style w:type="paragraph" w:styleId="a5">
    <w:name w:val="footer"/>
    <w:basedOn w:val="a"/>
    <w:link w:val="a6"/>
    <w:uiPriority w:val="99"/>
    <w:unhideWhenUsed/>
    <w:rsid w:val="008152E3"/>
    <w:pPr>
      <w:tabs>
        <w:tab w:val="center" w:pos="4153"/>
        <w:tab w:val="right" w:pos="8306"/>
      </w:tabs>
      <w:snapToGrid w:val="0"/>
      <w:jc w:val="left"/>
    </w:pPr>
    <w:rPr>
      <w:sz w:val="18"/>
      <w:szCs w:val="18"/>
    </w:rPr>
  </w:style>
  <w:style w:type="character" w:customStyle="1" w:styleId="a6">
    <w:name w:val="页脚 字符"/>
    <w:basedOn w:val="a0"/>
    <w:link w:val="a5"/>
    <w:uiPriority w:val="99"/>
    <w:rsid w:val="008152E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86985">
      <w:bodyDiv w:val="1"/>
      <w:marLeft w:val="0"/>
      <w:marRight w:val="0"/>
      <w:marTop w:val="0"/>
      <w:marBottom w:val="0"/>
      <w:divBdr>
        <w:top w:val="none" w:sz="0" w:space="0" w:color="auto"/>
        <w:left w:val="none" w:sz="0" w:space="0" w:color="auto"/>
        <w:bottom w:val="none" w:sz="0" w:space="0" w:color="auto"/>
        <w:right w:val="none" w:sz="0" w:space="0" w:color="auto"/>
      </w:divBdr>
    </w:div>
    <w:div w:id="55318353">
      <w:bodyDiv w:val="1"/>
      <w:marLeft w:val="0"/>
      <w:marRight w:val="0"/>
      <w:marTop w:val="0"/>
      <w:marBottom w:val="0"/>
      <w:divBdr>
        <w:top w:val="none" w:sz="0" w:space="0" w:color="auto"/>
        <w:left w:val="none" w:sz="0" w:space="0" w:color="auto"/>
        <w:bottom w:val="none" w:sz="0" w:space="0" w:color="auto"/>
        <w:right w:val="none" w:sz="0" w:space="0" w:color="auto"/>
      </w:divBdr>
    </w:div>
    <w:div w:id="214007785">
      <w:bodyDiv w:val="1"/>
      <w:marLeft w:val="0"/>
      <w:marRight w:val="0"/>
      <w:marTop w:val="0"/>
      <w:marBottom w:val="0"/>
      <w:divBdr>
        <w:top w:val="none" w:sz="0" w:space="0" w:color="auto"/>
        <w:left w:val="none" w:sz="0" w:space="0" w:color="auto"/>
        <w:bottom w:val="none" w:sz="0" w:space="0" w:color="auto"/>
        <w:right w:val="none" w:sz="0" w:space="0" w:color="auto"/>
      </w:divBdr>
    </w:div>
    <w:div w:id="444081365">
      <w:bodyDiv w:val="1"/>
      <w:marLeft w:val="0"/>
      <w:marRight w:val="0"/>
      <w:marTop w:val="0"/>
      <w:marBottom w:val="0"/>
      <w:divBdr>
        <w:top w:val="none" w:sz="0" w:space="0" w:color="auto"/>
        <w:left w:val="none" w:sz="0" w:space="0" w:color="auto"/>
        <w:bottom w:val="none" w:sz="0" w:space="0" w:color="auto"/>
        <w:right w:val="none" w:sz="0" w:space="0" w:color="auto"/>
      </w:divBdr>
    </w:div>
    <w:div w:id="475032856">
      <w:bodyDiv w:val="1"/>
      <w:marLeft w:val="0"/>
      <w:marRight w:val="0"/>
      <w:marTop w:val="0"/>
      <w:marBottom w:val="0"/>
      <w:divBdr>
        <w:top w:val="none" w:sz="0" w:space="0" w:color="auto"/>
        <w:left w:val="none" w:sz="0" w:space="0" w:color="auto"/>
        <w:bottom w:val="none" w:sz="0" w:space="0" w:color="auto"/>
        <w:right w:val="none" w:sz="0" w:space="0" w:color="auto"/>
      </w:divBdr>
    </w:div>
    <w:div w:id="501625944">
      <w:bodyDiv w:val="1"/>
      <w:marLeft w:val="0"/>
      <w:marRight w:val="0"/>
      <w:marTop w:val="0"/>
      <w:marBottom w:val="0"/>
      <w:divBdr>
        <w:top w:val="none" w:sz="0" w:space="0" w:color="auto"/>
        <w:left w:val="none" w:sz="0" w:space="0" w:color="auto"/>
        <w:bottom w:val="none" w:sz="0" w:space="0" w:color="auto"/>
        <w:right w:val="none" w:sz="0" w:space="0" w:color="auto"/>
      </w:divBdr>
    </w:div>
    <w:div w:id="525948939">
      <w:bodyDiv w:val="1"/>
      <w:marLeft w:val="0"/>
      <w:marRight w:val="0"/>
      <w:marTop w:val="0"/>
      <w:marBottom w:val="0"/>
      <w:divBdr>
        <w:top w:val="none" w:sz="0" w:space="0" w:color="auto"/>
        <w:left w:val="none" w:sz="0" w:space="0" w:color="auto"/>
        <w:bottom w:val="none" w:sz="0" w:space="0" w:color="auto"/>
        <w:right w:val="none" w:sz="0" w:space="0" w:color="auto"/>
      </w:divBdr>
    </w:div>
    <w:div w:id="584920053">
      <w:bodyDiv w:val="1"/>
      <w:marLeft w:val="0"/>
      <w:marRight w:val="0"/>
      <w:marTop w:val="0"/>
      <w:marBottom w:val="0"/>
      <w:divBdr>
        <w:top w:val="none" w:sz="0" w:space="0" w:color="auto"/>
        <w:left w:val="none" w:sz="0" w:space="0" w:color="auto"/>
        <w:bottom w:val="none" w:sz="0" w:space="0" w:color="auto"/>
        <w:right w:val="none" w:sz="0" w:space="0" w:color="auto"/>
      </w:divBdr>
    </w:div>
    <w:div w:id="630861044">
      <w:bodyDiv w:val="1"/>
      <w:marLeft w:val="0"/>
      <w:marRight w:val="0"/>
      <w:marTop w:val="0"/>
      <w:marBottom w:val="0"/>
      <w:divBdr>
        <w:top w:val="none" w:sz="0" w:space="0" w:color="auto"/>
        <w:left w:val="none" w:sz="0" w:space="0" w:color="auto"/>
        <w:bottom w:val="none" w:sz="0" w:space="0" w:color="auto"/>
        <w:right w:val="none" w:sz="0" w:space="0" w:color="auto"/>
      </w:divBdr>
    </w:div>
    <w:div w:id="663046362">
      <w:bodyDiv w:val="1"/>
      <w:marLeft w:val="0"/>
      <w:marRight w:val="0"/>
      <w:marTop w:val="0"/>
      <w:marBottom w:val="0"/>
      <w:divBdr>
        <w:top w:val="none" w:sz="0" w:space="0" w:color="auto"/>
        <w:left w:val="none" w:sz="0" w:space="0" w:color="auto"/>
        <w:bottom w:val="none" w:sz="0" w:space="0" w:color="auto"/>
        <w:right w:val="none" w:sz="0" w:space="0" w:color="auto"/>
      </w:divBdr>
    </w:div>
    <w:div w:id="786046408">
      <w:bodyDiv w:val="1"/>
      <w:marLeft w:val="0"/>
      <w:marRight w:val="0"/>
      <w:marTop w:val="0"/>
      <w:marBottom w:val="0"/>
      <w:divBdr>
        <w:top w:val="none" w:sz="0" w:space="0" w:color="auto"/>
        <w:left w:val="none" w:sz="0" w:space="0" w:color="auto"/>
        <w:bottom w:val="none" w:sz="0" w:space="0" w:color="auto"/>
        <w:right w:val="none" w:sz="0" w:space="0" w:color="auto"/>
      </w:divBdr>
    </w:div>
    <w:div w:id="802306117">
      <w:bodyDiv w:val="1"/>
      <w:marLeft w:val="0"/>
      <w:marRight w:val="0"/>
      <w:marTop w:val="0"/>
      <w:marBottom w:val="0"/>
      <w:divBdr>
        <w:top w:val="none" w:sz="0" w:space="0" w:color="auto"/>
        <w:left w:val="none" w:sz="0" w:space="0" w:color="auto"/>
        <w:bottom w:val="none" w:sz="0" w:space="0" w:color="auto"/>
        <w:right w:val="none" w:sz="0" w:space="0" w:color="auto"/>
      </w:divBdr>
    </w:div>
    <w:div w:id="833109995">
      <w:bodyDiv w:val="1"/>
      <w:marLeft w:val="0"/>
      <w:marRight w:val="0"/>
      <w:marTop w:val="0"/>
      <w:marBottom w:val="0"/>
      <w:divBdr>
        <w:top w:val="none" w:sz="0" w:space="0" w:color="auto"/>
        <w:left w:val="none" w:sz="0" w:space="0" w:color="auto"/>
        <w:bottom w:val="none" w:sz="0" w:space="0" w:color="auto"/>
        <w:right w:val="none" w:sz="0" w:space="0" w:color="auto"/>
      </w:divBdr>
    </w:div>
    <w:div w:id="1041786798">
      <w:bodyDiv w:val="1"/>
      <w:marLeft w:val="0"/>
      <w:marRight w:val="0"/>
      <w:marTop w:val="0"/>
      <w:marBottom w:val="0"/>
      <w:divBdr>
        <w:top w:val="none" w:sz="0" w:space="0" w:color="auto"/>
        <w:left w:val="none" w:sz="0" w:space="0" w:color="auto"/>
        <w:bottom w:val="none" w:sz="0" w:space="0" w:color="auto"/>
        <w:right w:val="none" w:sz="0" w:space="0" w:color="auto"/>
      </w:divBdr>
    </w:div>
    <w:div w:id="1062826515">
      <w:bodyDiv w:val="1"/>
      <w:marLeft w:val="0"/>
      <w:marRight w:val="0"/>
      <w:marTop w:val="0"/>
      <w:marBottom w:val="0"/>
      <w:divBdr>
        <w:top w:val="none" w:sz="0" w:space="0" w:color="auto"/>
        <w:left w:val="none" w:sz="0" w:space="0" w:color="auto"/>
        <w:bottom w:val="none" w:sz="0" w:space="0" w:color="auto"/>
        <w:right w:val="none" w:sz="0" w:space="0" w:color="auto"/>
      </w:divBdr>
    </w:div>
    <w:div w:id="1117027572">
      <w:bodyDiv w:val="1"/>
      <w:marLeft w:val="0"/>
      <w:marRight w:val="0"/>
      <w:marTop w:val="0"/>
      <w:marBottom w:val="0"/>
      <w:divBdr>
        <w:top w:val="none" w:sz="0" w:space="0" w:color="auto"/>
        <w:left w:val="none" w:sz="0" w:space="0" w:color="auto"/>
        <w:bottom w:val="none" w:sz="0" w:space="0" w:color="auto"/>
        <w:right w:val="none" w:sz="0" w:space="0" w:color="auto"/>
      </w:divBdr>
    </w:div>
    <w:div w:id="1126314959">
      <w:bodyDiv w:val="1"/>
      <w:marLeft w:val="0"/>
      <w:marRight w:val="0"/>
      <w:marTop w:val="0"/>
      <w:marBottom w:val="0"/>
      <w:divBdr>
        <w:top w:val="none" w:sz="0" w:space="0" w:color="auto"/>
        <w:left w:val="none" w:sz="0" w:space="0" w:color="auto"/>
        <w:bottom w:val="none" w:sz="0" w:space="0" w:color="auto"/>
        <w:right w:val="none" w:sz="0" w:space="0" w:color="auto"/>
      </w:divBdr>
    </w:div>
    <w:div w:id="1192916489">
      <w:bodyDiv w:val="1"/>
      <w:marLeft w:val="0"/>
      <w:marRight w:val="0"/>
      <w:marTop w:val="0"/>
      <w:marBottom w:val="0"/>
      <w:divBdr>
        <w:top w:val="none" w:sz="0" w:space="0" w:color="auto"/>
        <w:left w:val="none" w:sz="0" w:space="0" w:color="auto"/>
        <w:bottom w:val="none" w:sz="0" w:space="0" w:color="auto"/>
        <w:right w:val="none" w:sz="0" w:space="0" w:color="auto"/>
      </w:divBdr>
    </w:div>
    <w:div w:id="1414475196">
      <w:bodyDiv w:val="1"/>
      <w:marLeft w:val="0"/>
      <w:marRight w:val="0"/>
      <w:marTop w:val="0"/>
      <w:marBottom w:val="0"/>
      <w:divBdr>
        <w:top w:val="none" w:sz="0" w:space="0" w:color="auto"/>
        <w:left w:val="none" w:sz="0" w:space="0" w:color="auto"/>
        <w:bottom w:val="none" w:sz="0" w:space="0" w:color="auto"/>
        <w:right w:val="none" w:sz="0" w:space="0" w:color="auto"/>
      </w:divBdr>
    </w:div>
    <w:div w:id="1534805589">
      <w:bodyDiv w:val="1"/>
      <w:marLeft w:val="0"/>
      <w:marRight w:val="0"/>
      <w:marTop w:val="0"/>
      <w:marBottom w:val="0"/>
      <w:divBdr>
        <w:top w:val="none" w:sz="0" w:space="0" w:color="auto"/>
        <w:left w:val="none" w:sz="0" w:space="0" w:color="auto"/>
        <w:bottom w:val="none" w:sz="0" w:space="0" w:color="auto"/>
        <w:right w:val="none" w:sz="0" w:space="0" w:color="auto"/>
      </w:divBdr>
    </w:div>
    <w:div w:id="1607734251">
      <w:bodyDiv w:val="1"/>
      <w:marLeft w:val="0"/>
      <w:marRight w:val="0"/>
      <w:marTop w:val="0"/>
      <w:marBottom w:val="0"/>
      <w:divBdr>
        <w:top w:val="none" w:sz="0" w:space="0" w:color="auto"/>
        <w:left w:val="none" w:sz="0" w:space="0" w:color="auto"/>
        <w:bottom w:val="none" w:sz="0" w:space="0" w:color="auto"/>
        <w:right w:val="none" w:sz="0" w:space="0" w:color="auto"/>
      </w:divBdr>
    </w:div>
    <w:div w:id="1793551049">
      <w:bodyDiv w:val="1"/>
      <w:marLeft w:val="0"/>
      <w:marRight w:val="0"/>
      <w:marTop w:val="0"/>
      <w:marBottom w:val="0"/>
      <w:divBdr>
        <w:top w:val="none" w:sz="0" w:space="0" w:color="auto"/>
        <w:left w:val="none" w:sz="0" w:space="0" w:color="auto"/>
        <w:bottom w:val="none" w:sz="0" w:space="0" w:color="auto"/>
        <w:right w:val="none" w:sz="0" w:space="0" w:color="auto"/>
      </w:divBdr>
    </w:div>
    <w:div w:id="1915969141">
      <w:bodyDiv w:val="1"/>
      <w:marLeft w:val="0"/>
      <w:marRight w:val="0"/>
      <w:marTop w:val="0"/>
      <w:marBottom w:val="0"/>
      <w:divBdr>
        <w:top w:val="none" w:sz="0" w:space="0" w:color="auto"/>
        <w:left w:val="none" w:sz="0" w:space="0" w:color="auto"/>
        <w:bottom w:val="none" w:sz="0" w:space="0" w:color="auto"/>
        <w:right w:val="none" w:sz="0" w:space="0" w:color="auto"/>
      </w:divBdr>
    </w:div>
    <w:div w:id="1945113837">
      <w:bodyDiv w:val="1"/>
      <w:marLeft w:val="0"/>
      <w:marRight w:val="0"/>
      <w:marTop w:val="0"/>
      <w:marBottom w:val="0"/>
      <w:divBdr>
        <w:top w:val="none" w:sz="0" w:space="0" w:color="auto"/>
        <w:left w:val="none" w:sz="0" w:space="0" w:color="auto"/>
        <w:bottom w:val="none" w:sz="0" w:space="0" w:color="auto"/>
        <w:right w:val="none" w:sz="0" w:space="0" w:color="auto"/>
      </w:divBdr>
    </w:div>
    <w:div w:id="2002191309">
      <w:bodyDiv w:val="1"/>
      <w:marLeft w:val="0"/>
      <w:marRight w:val="0"/>
      <w:marTop w:val="0"/>
      <w:marBottom w:val="0"/>
      <w:divBdr>
        <w:top w:val="none" w:sz="0" w:space="0" w:color="auto"/>
        <w:left w:val="none" w:sz="0" w:space="0" w:color="auto"/>
        <w:bottom w:val="none" w:sz="0" w:space="0" w:color="auto"/>
        <w:right w:val="none" w:sz="0" w:space="0" w:color="auto"/>
      </w:divBdr>
    </w:div>
    <w:div w:id="2070767870">
      <w:bodyDiv w:val="1"/>
      <w:marLeft w:val="0"/>
      <w:marRight w:val="0"/>
      <w:marTop w:val="0"/>
      <w:marBottom w:val="0"/>
      <w:divBdr>
        <w:top w:val="none" w:sz="0" w:space="0" w:color="auto"/>
        <w:left w:val="none" w:sz="0" w:space="0" w:color="auto"/>
        <w:bottom w:val="none" w:sz="0" w:space="0" w:color="auto"/>
        <w:right w:val="none" w:sz="0" w:space="0" w:color="auto"/>
      </w:divBdr>
    </w:div>
    <w:div w:id="2071072922">
      <w:bodyDiv w:val="1"/>
      <w:marLeft w:val="0"/>
      <w:marRight w:val="0"/>
      <w:marTop w:val="0"/>
      <w:marBottom w:val="0"/>
      <w:divBdr>
        <w:top w:val="none" w:sz="0" w:space="0" w:color="auto"/>
        <w:left w:val="none" w:sz="0" w:space="0" w:color="auto"/>
        <w:bottom w:val="none" w:sz="0" w:space="0" w:color="auto"/>
        <w:right w:val="none" w:sz="0" w:space="0" w:color="auto"/>
      </w:divBdr>
    </w:div>
    <w:div w:id="2091657165">
      <w:bodyDiv w:val="1"/>
      <w:marLeft w:val="0"/>
      <w:marRight w:val="0"/>
      <w:marTop w:val="0"/>
      <w:marBottom w:val="0"/>
      <w:divBdr>
        <w:top w:val="none" w:sz="0" w:space="0" w:color="auto"/>
        <w:left w:val="none" w:sz="0" w:space="0" w:color="auto"/>
        <w:bottom w:val="none" w:sz="0" w:space="0" w:color="auto"/>
        <w:right w:val="none" w:sz="0" w:space="0" w:color="auto"/>
      </w:divBdr>
    </w:div>
    <w:div w:id="2096436921">
      <w:bodyDiv w:val="1"/>
      <w:marLeft w:val="0"/>
      <w:marRight w:val="0"/>
      <w:marTop w:val="0"/>
      <w:marBottom w:val="0"/>
      <w:divBdr>
        <w:top w:val="none" w:sz="0" w:space="0" w:color="auto"/>
        <w:left w:val="none" w:sz="0" w:space="0" w:color="auto"/>
        <w:bottom w:val="none" w:sz="0" w:space="0" w:color="auto"/>
        <w:right w:val="none" w:sz="0" w:space="0" w:color="auto"/>
      </w:divBdr>
    </w:div>
    <w:div w:id="2098595774">
      <w:bodyDiv w:val="1"/>
      <w:marLeft w:val="0"/>
      <w:marRight w:val="0"/>
      <w:marTop w:val="0"/>
      <w:marBottom w:val="0"/>
      <w:divBdr>
        <w:top w:val="none" w:sz="0" w:space="0" w:color="auto"/>
        <w:left w:val="none" w:sz="0" w:space="0" w:color="auto"/>
        <w:bottom w:val="none" w:sz="0" w:space="0" w:color="auto"/>
        <w:right w:val="none" w:sz="0" w:space="0" w:color="auto"/>
      </w:divBdr>
    </w:div>
    <w:div w:id="2131506620">
      <w:bodyDiv w:val="1"/>
      <w:marLeft w:val="0"/>
      <w:marRight w:val="0"/>
      <w:marTop w:val="0"/>
      <w:marBottom w:val="0"/>
      <w:divBdr>
        <w:top w:val="none" w:sz="0" w:space="0" w:color="auto"/>
        <w:left w:val="none" w:sz="0" w:space="0" w:color="auto"/>
        <w:bottom w:val="none" w:sz="0" w:space="0" w:color="auto"/>
        <w:right w:val="none" w:sz="0" w:space="0" w:color="auto"/>
      </w:divBdr>
    </w:div>
    <w:div w:id="214211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FB0724-1E88-4E02-B079-A64B4D8ED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6</Pages>
  <Words>538</Words>
  <Characters>3070</Characters>
  <Application>Microsoft Office Word</Application>
  <DocSecurity>0</DocSecurity>
  <Lines>25</Lines>
  <Paragraphs>7</Paragraphs>
  <ScaleCrop>false</ScaleCrop>
  <Company/>
  <LinksUpToDate>false</LinksUpToDate>
  <CharactersWithSpaces>3601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 慧</dc:creator>
  <cp:keywords/>
  <dc:description/>
  <cp:lastModifiedBy>高 慧</cp:lastModifiedBy>
  <cp:revision>98</cp:revision>
  <dcterms:created xsi:type="dcterms:W3CDTF">2021-01-25T14:40:00Z</dcterms:created>
  <dcterms:modified xsi:type="dcterms:W3CDTF">2021-05-20T14:19:00Z</dcterms:modified>
</cp:coreProperties>
</file>