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8A55F" w14:textId="77777777" w:rsidR="001326AF" w:rsidRDefault="001326AF" w:rsidP="001326AF">
      <w:pPr>
        <w:rPr>
          <w:b/>
          <w:bCs/>
          <w:color w:val="auto"/>
        </w:rPr>
      </w:pPr>
      <w:r>
        <w:rPr>
          <w:rFonts w:hint="eastAsia"/>
          <w:b/>
          <w:bCs/>
          <w:color w:val="auto"/>
        </w:rPr>
        <w:t>S</w:t>
      </w:r>
      <w:r>
        <w:rPr>
          <w:b/>
          <w:bCs/>
          <w:color w:val="auto"/>
        </w:rPr>
        <w:t>upplementary Information</w:t>
      </w:r>
    </w:p>
    <w:p w14:paraId="466CD6F2" w14:textId="77777777" w:rsidR="001326AF" w:rsidRDefault="001326AF" w:rsidP="001326AF">
      <w:pPr>
        <w:rPr>
          <w:color w:val="auto"/>
          <w:shd w:val="clear" w:color="auto" w:fill="FDFDFE"/>
        </w:rPr>
      </w:pPr>
      <w:r>
        <w:rPr>
          <w:color w:val="auto"/>
          <w:shd w:val="clear" w:color="auto" w:fill="FDFDFE"/>
        </w:rPr>
        <w:t>Supplementary Table 1. A total of 17 brain subregions were derived through automatic brain parcellation and the merging of neighboring anatomical structures. Other anatomical structures such as Cerebral_WM, Corpus_Callosum, and Cingulate_Gyrus were categorized into frontal, parietal, occipital, and temporal lobes based on their proximity principle.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4"/>
        <w:gridCol w:w="2405"/>
        <w:gridCol w:w="4907"/>
      </w:tblGrid>
      <w:tr w:rsidR="001326AF" w14:paraId="4BAD0CCE" w14:textId="77777777" w:rsidTr="00D741C1">
        <w:trPr>
          <w:jc w:val="center"/>
        </w:trPr>
        <w:tc>
          <w:tcPr>
            <w:tcW w:w="100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87EECE9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Number</w:t>
            </w:r>
          </w:p>
        </w:tc>
        <w:tc>
          <w:tcPr>
            <w:tcW w:w="24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8538F2C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Brain subregions</w:t>
            </w:r>
          </w:p>
        </w:tc>
        <w:tc>
          <w:tcPr>
            <w:tcW w:w="50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8A84D5F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Anatomical structures</w:t>
            </w:r>
          </w:p>
        </w:tc>
      </w:tr>
      <w:tr w:rsidR="001326AF" w14:paraId="30AE72A1" w14:textId="77777777" w:rsidTr="00D741C1">
        <w:trPr>
          <w:jc w:val="center"/>
        </w:trPr>
        <w:tc>
          <w:tcPr>
            <w:tcW w:w="1003" w:type="dxa"/>
            <w:tcBorders>
              <w:top w:val="single" w:sz="8" w:space="0" w:color="auto"/>
            </w:tcBorders>
            <w:shd w:val="clear" w:color="auto" w:fill="D9E2F3"/>
            <w:vAlign w:val="center"/>
          </w:tcPr>
          <w:p w14:paraId="48D105C4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429" w:type="dxa"/>
            <w:tcBorders>
              <w:top w:val="single" w:sz="8" w:space="0" w:color="auto"/>
            </w:tcBorders>
            <w:shd w:val="clear" w:color="auto" w:fill="D9E2F3"/>
            <w:vAlign w:val="center"/>
          </w:tcPr>
          <w:p w14:paraId="15D6FC42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Frontal_Lobe_L</w:t>
            </w:r>
          </w:p>
        </w:tc>
        <w:tc>
          <w:tcPr>
            <w:tcW w:w="5090" w:type="dxa"/>
            <w:tcBorders>
              <w:top w:val="single" w:sz="8" w:space="0" w:color="auto"/>
            </w:tcBorders>
            <w:shd w:val="clear" w:color="auto" w:fill="D9E2F3"/>
            <w:vAlign w:val="center"/>
          </w:tcPr>
          <w:p w14:paraId="73983176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Precentral_L, Frontal_Sup_L, Frontal_Mid_Rostral_L, Frontal_Mid_Caudal_L, Frontalpole_L, Orbitofrontal_Lat_L, Orbitofrontal_Med_L, Parsopercularis_L, Parsorbitalis_L, Parstriangularis_L</w:t>
            </w:r>
          </w:p>
        </w:tc>
      </w:tr>
      <w:tr w:rsidR="001326AF" w:rsidRPr="00E404F1" w14:paraId="0E15271B" w14:textId="77777777" w:rsidTr="00D741C1">
        <w:trPr>
          <w:jc w:val="center"/>
        </w:trPr>
        <w:tc>
          <w:tcPr>
            <w:tcW w:w="1003" w:type="dxa"/>
            <w:vAlign w:val="center"/>
          </w:tcPr>
          <w:p w14:paraId="2F706095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429" w:type="dxa"/>
            <w:vAlign w:val="center"/>
          </w:tcPr>
          <w:p w14:paraId="053602A8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Frontal_Lobe_R</w:t>
            </w:r>
          </w:p>
        </w:tc>
        <w:tc>
          <w:tcPr>
            <w:tcW w:w="5090" w:type="dxa"/>
            <w:vAlign w:val="center"/>
          </w:tcPr>
          <w:p w14:paraId="0410A84C" w14:textId="77777777" w:rsidR="001326AF" w:rsidRPr="00E404F1" w:rsidRDefault="001326AF" w:rsidP="00D741C1">
            <w:pPr>
              <w:rPr>
                <w:color w:val="auto"/>
                <w:lang w:val="pt-PT"/>
              </w:rPr>
            </w:pPr>
            <w:r w:rsidRPr="00E404F1">
              <w:rPr>
                <w:color w:val="auto"/>
                <w:lang w:val="pt-PT"/>
              </w:rPr>
              <w:t>Precentral_R, Frontal_Sup_R, Frontal_Mid_Rostral_R, Frontal_Mid_Caudal_R, Frontalpole_R, Orbitofrontal_Lat_R, Orbitofrontal_Med_R, Parsopercularis_R, Parsorbitalis_R, Parstriangularis_R</w:t>
            </w:r>
          </w:p>
        </w:tc>
      </w:tr>
      <w:tr w:rsidR="001326AF" w:rsidRPr="00E404F1" w14:paraId="620E8E24" w14:textId="77777777" w:rsidTr="00D741C1">
        <w:trPr>
          <w:jc w:val="center"/>
        </w:trPr>
        <w:tc>
          <w:tcPr>
            <w:tcW w:w="1003" w:type="dxa"/>
            <w:shd w:val="clear" w:color="auto" w:fill="D9E2F3"/>
            <w:vAlign w:val="center"/>
          </w:tcPr>
          <w:p w14:paraId="5C89F2D3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2429" w:type="dxa"/>
            <w:shd w:val="clear" w:color="auto" w:fill="D9E2F3"/>
            <w:vAlign w:val="center"/>
          </w:tcPr>
          <w:p w14:paraId="33357573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Parietal_Lobe_L</w:t>
            </w:r>
          </w:p>
        </w:tc>
        <w:tc>
          <w:tcPr>
            <w:tcW w:w="5090" w:type="dxa"/>
            <w:shd w:val="clear" w:color="auto" w:fill="D9E2F3"/>
            <w:vAlign w:val="center"/>
          </w:tcPr>
          <w:p w14:paraId="24E78CBA" w14:textId="77777777" w:rsidR="001326AF" w:rsidRPr="00E404F1" w:rsidRDefault="001326AF" w:rsidP="00D741C1">
            <w:pPr>
              <w:rPr>
                <w:color w:val="auto"/>
                <w:lang w:val="pt-PT"/>
              </w:rPr>
            </w:pPr>
            <w:r w:rsidRPr="00E404F1">
              <w:rPr>
                <w:color w:val="auto"/>
                <w:lang w:val="pt-PT"/>
              </w:rPr>
              <w:t xml:space="preserve">Postcentral_L, Paracentral_L, Parietal_Sup_L, Parietal_Inf_L, Precuneus_L, Supramarginal_L </w:t>
            </w:r>
          </w:p>
        </w:tc>
      </w:tr>
      <w:tr w:rsidR="001326AF" w:rsidRPr="00E404F1" w14:paraId="4307EDA1" w14:textId="77777777" w:rsidTr="00D741C1">
        <w:trPr>
          <w:jc w:val="center"/>
        </w:trPr>
        <w:tc>
          <w:tcPr>
            <w:tcW w:w="1003" w:type="dxa"/>
            <w:vAlign w:val="center"/>
          </w:tcPr>
          <w:p w14:paraId="636FDB5C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2429" w:type="dxa"/>
            <w:vAlign w:val="center"/>
          </w:tcPr>
          <w:p w14:paraId="553F41EC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Parietal_Lobe_R</w:t>
            </w:r>
          </w:p>
        </w:tc>
        <w:tc>
          <w:tcPr>
            <w:tcW w:w="5090" w:type="dxa"/>
            <w:vAlign w:val="center"/>
          </w:tcPr>
          <w:p w14:paraId="76D0CAFB" w14:textId="77777777" w:rsidR="001326AF" w:rsidRPr="00E404F1" w:rsidRDefault="001326AF" w:rsidP="00D741C1">
            <w:pPr>
              <w:rPr>
                <w:color w:val="auto"/>
                <w:lang w:val="pt-PT"/>
              </w:rPr>
            </w:pPr>
            <w:r w:rsidRPr="00E404F1">
              <w:rPr>
                <w:color w:val="auto"/>
                <w:lang w:val="pt-PT"/>
              </w:rPr>
              <w:t>Postcentral_R, Paracentral_R, Parietal_Sup_R, Parietal_Inf_R, Precuneus_R, Supramarginal_R</w:t>
            </w:r>
          </w:p>
        </w:tc>
      </w:tr>
      <w:tr w:rsidR="001326AF" w:rsidRPr="00E404F1" w14:paraId="5B2DE179" w14:textId="77777777" w:rsidTr="00D741C1">
        <w:trPr>
          <w:jc w:val="center"/>
        </w:trPr>
        <w:tc>
          <w:tcPr>
            <w:tcW w:w="1003" w:type="dxa"/>
            <w:shd w:val="clear" w:color="auto" w:fill="D9E2F3"/>
            <w:vAlign w:val="center"/>
          </w:tcPr>
          <w:p w14:paraId="22340970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2429" w:type="dxa"/>
            <w:shd w:val="clear" w:color="auto" w:fill="D9E2F3"/>
            <w:vAlign w:val="center"/>
          </w:tcPr>
          <w:p w14:paraId="415AE042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Occipital_Lobe_L</w:t>
            </w:r>
          </w:p>
        </w:tc>
        <w:tc>
          <w:tcPr>
            <w:tcW w:w="5090" w:type="dxa"/>
            <w:shd w:val="clear" w:color="auto" w:fill="D9E2F3"/>
            <w:vAlign w:val="center"/>
          </w:tcPr>
          <w:p w14:paraId="565A2442" w14:textId="77777777" w:rsidR="001326AF" w:rsidRPr="00E404F1" w:rsidRDefault="001326AF" w:rsidP="00D741C1">
            <w:pPr>
              <w:rPr>
                <w:color w:val="auto"/>
                <w:lang w:val="pt-PT"/>
              </w:rPr>
            </w:pPr>
            <w:r w:rsidRPr="00E404F1">
              <w:rPr>
                <w:color w:val="auto"/>
                <w:lang w:val="pt-PT"/>
              </w:rPr>
              <w:t>Cuneus_L, Lingual_L, Pericalcarine_L, Occipital_Lat_L</w:t>
            </w:r>
          </w:p>
        </w:tc>
      </w:tr>
      <w:tr w:rsidR="001326AF" w:rsidRPr="00E404F1" w14:paraId="24178573" w14:textId="77777777" w:rsidTr="00D741C1">
        <w:trPr>
          <w:jc w:val="center"/>
        </w:trPr>
        <w:tc>
          <w:tcPr>
            <w:tcW w:w="1003" w:type="dxa"/>
            <w:vAlign w:val="center"/>
          </w:tcPr>
          <w:p w14:paraId="0A2FD592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2429" w:type="dxa"/>
            <w:vAlign w:val="center"/>
          </w:tcPr>
          <w:p w14:paraId="68210A1E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Occipital_Lobe_R</w:t>
            </w:r>
          </w:p>
        </w:tc>
        <w:tc>
          <w:tcPr>
            <w:tcW w:w="5090" w:type="dxa"/>
            <w:vAlign w:val="center"/>
          </w:tcPr>
          <w:p w14:paraId="568E170F" w14:textId="77777777" w:rsidR="001326AF" w:rsidRPr="00E404F1" w:rsidRDefault="001326AF" w:rsidP="00D741C1">
            <w:pPr>
              <w:rPr>
                <w:color w:val="auto"/>
                <w:lang w:val="pt-PT"/>
              </w:rPr>
            </w:pPr>
            <w:r w:rsidRPr="00E404F1">
              <w:rPr>
                <w:color w:val="auto"/>
                <w:lang w:val="pt-PT"/>
              </w:rPr>
              <w:t>Cuneus_R, Lingual_R, Pericalcarine_R, Occipital_Lat_R</w:t>
            </w:r>
          </w:p>
        </w:tc>
      </w:tr>
      <w:tr w:rsidR="001326AF" w14:paraId="1364AC9D" w14:textId="77777777" w:rsidTr="00D741C1">
        <w:trPr>
          <w:jc w:val="center"/>
        </w:trPr>
        <w:tc>
          <w:tcPr>
            <w:tcW w:w="1003" w:type="dxa"/>
            <w:shd w:val="clear" w:color="auto" w:fill="D9E2F3"/>
            <w:vAlign w:val="center"/>
          </w:tcPr>
          <w:p w14:paraId="35674EF1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2429" w:type="dxa"/>
            <w:shd w:val="clear" w:color="auto" w:fill="D9E2F3"/>
            <w:vAlign w:val="center"/>
          </w:tcPr>
          <w:p w14:paraId="574C35F0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Temporal_Lobe_L</w:t>
            </w:r>
          </w:p>
        </w:tc>
        <w:tc>
          <w:tcPr>
            <w:tcW w:w="5090" w:type="dxa"/>
            <w:shd w:val="clear" w:color="auto" w:fill="D9E2F3"/>
            <w:vAlign w:val="center"/>
          </w:tcPr>
          <w:p w14:paraId="21BE0F7B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Hippocampus_L, Parahippocampal_L, Entorhinal_L, Fusiform_L, Temporal_Sup_L, Temporal_Mid_L, Temporal_Inf_L, Temporalpole_L, Temporal_Sup_Banks_L, Transversetemporal_L</w:t>
            </w:r>
          </w:p>
        </w:tc>
      </w:tr>
      <w:tr w:rsidR="001326AF" w:rsidRPr="00E404F1" w14:paraId="19BCE6AB" w14:textId="77777777" w:rsidTr="00D741C1">
        <w:trPr>
          <w:jc w:val="center"/>
        </w:trPr>
        <w:tc>
          <w:tcPr>
            <w:tcW w:w="1003" w:type="dxa"/>
            <w:vAlign w:val="center"/>
          </w:tcPr>
          <w:p w14:paraId="183ECF17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2429" w:type="dxa"/>
            <w:vAlign w:val="center"/>
          </w:tcPr>
          <w:p w14:paraId="3C9B66D8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Temporal_Lobe_R</w:t>
            </w:r>
          </w:p>
        </w:tc>
        <w:tc>
          <w:tcPr>
            <w:tcW w:w="5090" w:type="dxa"/>
            <w:vAlign w:val="center"/>
          </w:tcPr>
          <w:p w14:paraId="30C53CDE" w14:textId="77777777" w:rsidR="001326AF" w:rsidRPr="00E404F1" w:rsidRDefault="001326AF" w:rsidP="00D741C1">
            <w:pPr>
              <w:rPr>
                <w:color w:val="auto"/>
                <w:lang w:val="pt-PT"/>
              </w:rPr>
            </w:pPr>
            <w:r w:rsidRPr="00E404F1">
              <w:rPr>
                <w:color w:val="auto"/>
                <w:lang w:val="pt-PT"/>
              </w:rPr>
              <w:t>Hippocampus_R, Parahippocampal_R, Entorhinal_R, Fusiform_R, Temporal_Sup_R, Temporal_Mid_R, Temporal_Inf_R, Temporalpole_R, Temporal_Sup_Banks_R, Transversetemporal_R</w:t>
            </w:r>
          </w:p>
        </w:tc>
      </w:tr>
      <w:tr w:rsidR="001326AF" w:rsidRPr="00E404F1" w14:paraId="1A02E1C0" w14:textId="77777777" w:rsidTr="00D741C1">
        <w:trPr>
          <w:jc w:val="center"/>
        </w:trPr>
        <w:tc>
          <w:tcPr>
            <w:tcW w:w="1003" w:type="dxa"/>
            <w:shd w:val="clear" w:color="auto" w:fill="D9E2F3"/>
            <w:vAlign w:val="center"/>
          </w:tcPr>
          <w:p w14:paraId="7EE9F5AD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9</w:t>
            </w:r>
          </w:p>
        </w:tc>
        <w:tc>
          <w:tcPr>
            <w:tcW w:w="2429" w:type="dxa"/>
            <w:shd w:val="clear" w:color="auto" w:fill="D9E2F3"/>
            <w:vAlign w:val="center"/>
          </w:tcPr>
          <w:p w14:paraId="7082D998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Cerebellum_L</w:t>
            </w:r>
          </w:p>
        </w:tc>
        <w:tc>
          <w:tcPr>
            <w:tcW w:w="5090" w:type="dxa"/>
            <w:shd w:val="clear" w:color="auto" w:fill="D9E2F3"/>
            <w:vAlign w:val="center"/>
          </w:tcPr>
          <w:p w14:paraId="66E27DD9" w14:textId="77777777" w:rsidR="001326AF" w:rsidRPr="00E404F1" w:rsidRDefault="001326AF" w:rsidP="00D741C1">
            <w:pPr>
              <w:rPr>
                <w:color w:val="auto"/>
                <w:lang w:val="pt-PT"/>
              </w:rPr>
            </w:pPr>
            <w:r w:rsidRPr="00E404F1">
              <w:rPr>
                <w:color w:val="auto"/>
                <w:lang w:val="pt-PT"/>
              </w:rPr>
              <w:t>Cerebellum_Cortex_L, Cerebellum_WM_L</w:t>
            </w:r>
          </w:p>
        </w:tc>
      </w:tr>
      <w:tr w:rsidR="001326AF" w:rsidRPr="00E404F1" w14:paraId="69172A66" w14:textId="77777777" w:rsidTr="00D741C1">
        <w:trPr>
          <w:jc w:val="center"/>
        </w:trPr>
        <w:tc>
          <w:tcPr>
            <w:tcW w:w="1003" w:type="dxa"/>
            <w:vAlign w:val="center"/>
          </w:tcPr>
          <w:p w14:paraId="7B9B3626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  <w:tc>
          <w:tcPr>
            <w:tcW w:w="2429" w:type="dxa"/>
            <w:vAlign w:val="center"/>
          </w:tcPr>
          <w:p w14:paraId="0C7940E0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Cerebellum_R</w:t>
            </w:r>
          </w:p>
        </w:tc>
        <w:tc>
          <w:tcPr>
            <w:tcW w:w="5090" w:type="dxa"/>
            <w:vAlign w:val="center"/>
          </w:tcPr>
          <w:p w14:paraId="22BA8899" w14:textId="77777777" w:rsidR="001326AF" w:rsidRPr="00E404F1" w:rsidRDefault="001326AF" w:rsidP="00D741C1">
            <w:pPr>
              <w:rPr>
                <w:color w:val="auto"/>
                <w:lang w:val="pt-PT"/>
              </w:rPr>
            </w:pPr>
            <w:r w:rsidRPr="00E404F1">
              <w:rPr>
                <w:color w:val="auto"/>
                <w:lang w:val="pt-PT"/>
              </w:rPr>
              <w:t>Cerebellum_Cortex_R, Cerebellum_WM_R</w:t>
            </w:r>
          </w:p>
        </w:tc>
      </w:tr>
      <w:tr w:rsidR="001326AF" w14:paraId="47BE1C26" w14:textId="77777777" w:rsidTr="00D741C1">
        <w:trPr>
          <w:jc w:val="center"/>
        </w:trPr>
        <w:tc>
          <w:tcPr>
            <w:tcW w:w="1003" w:type="dxa"/>
            <w:shd w:val="clear" w:color="auto" w:fill="D9E2F3"/>
            <w:vAlign w:val="center"/>
          </w:tcPr>
          <w:p w14:paraId="38C27C92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11</w:t>
            </w:r>
          </w:p>
        </w:tc>
        <w:tc>
          <w:tcPr>
            <w:tcW w:w="2429" w:type="dxa"/>
            <w:shd w:val="clear" w:color="auto" w:fill="D9E2F3"/>
            <w:vAlign w:val="center"/>
          </w:tcPr>
          <w:p w14:paraId="1831CE00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Thalamus_L</w:t>
            </w:r>
          </w:p>
        </w:tc>
        <w:tc>
          <w:tcPr>
            <w:tcW w:w="5090" w:type="dxa"/>
            <w:shd w:val="clear" w:color="auto" w:fill="D9E2F3"/>
            <w:vAlign w:val="center"/>
          </w:tcPr>
          <w:p w14:paraId="49B88B20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Thalamus_L, VentralDC_L</w:t>
            </w:r>
          </w:p>
        </w:tc>
      </w:tr>
      <w:tr w:rsidR="001326AF" w14:paraId="45DE92E4" w14:textId="77777777" w:rsidTr="00D741C1">
        <w:trPr>
          <w:jc w:val="center"/>
        </w:trPr>
        <w:tc>
          <w:tcPr>
            <w:tcW w:w="1003" w:type="dxa"/>
            <w:vAlign w:val="center"/>
          </w:tcPr>
          <w:p w14:paraId="634AA941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12</w:t>
            </w:r>
          </w:p>
        </w:tc>
        <w:tc>
          <w:tcPr>
            <w:tcW w:w="2429" w:type="dxa"/>
            <w:vAlign w:val="center"/>
          </w:tcPr>
          <w:p w14:paraId="424C1F72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Thalamus_R</w:t>
            </w:r>
          </w:p>
        </w:tc>
        <w:tc>
          <w:tcPr>
            <w:tcW w:w="5090" w:type="dxa"/>
            <w:vAlign w:val="center"/>
          </w:tcPr>
          <w:p w14:paraId="7D5F236A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Thalamus_R, VentralDC_R</w:t>
            </w:r>
          </w:p>
        </w:tc>
      </w:tr>
      <w:tr w:rsidR="001326AF" w14:paraId="017B77B6" w14:textId="77777777" w:rsidTr="00D741C1">
        <w:trPr>
          <w:jc w:val="center"/>
        </w:trPr>
        <w:tc>
          <w:tcPr>
            <w:tcW w:w="1003" w:type="dxa"/>
            <w:shd w:val="clear" w:color="auto" w:fill="D9E2F3"/>
            <w:vAlign w:val="center"/>
          </w:tcPr>
          <w:p w14:paraId="06B61890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13</w:t>
            </w:r>
          </w:p>
        </w:tc>
        <w:tc>
          <w:tcPr>
            <w:tcW w:w="2429" w:type="dxa"/>
            <w:shd w:val="clear" w:color="auto" w:fill="D9E2F3"/>
            <w:vAlign w:val="center"/>
          </w:tcPr>
          <w:p w14:paraId="12D8F6BA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Basal_Ganglia_L</w:t>
            </w:r>
          </w:p>
        </w:tc>
        <w:tc>
          <w:tcPr>
            <w:tcW w:w="5090" w:type="dxa"/>
            <w:shd w:val="clear" w:color="auto" w:fill="D9E2F3"/>
            <w:vAlign w:val="center"/>
          </w:tcPr>
          <w:p w14:paraId="287DE9B4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Amygdala_L, Caudate_L, Putamen_L, Pallidum_L, Accumbens_Area_L, Insula_L</w:t>
            </w:r>
          </w:p>
        </w:tc>
      </w:tr>
      <w:tr w:rsidR="001326AF" w:rsidRPr="00E404F1" w14:paraId="03B5FC72" w14:textId="77777777" w:rsidTr="00D741C1">
        <w:trPr>
          <w:jc w:val="center"/>
        </w:trPr>
        <w:tc>
          <w:tcPr>
            <w:tcW w:w="1003" w:type="dxa"/>
            <w:vAlign w:val="center"/>
          </w:tcPr>
          <w:p w14:paraId="78AC2202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14</w:t>
            </w:r>
          </w:p>
        </w:tc>
        <w:tc>
          <w:tcPr>
            <w:tcW w:w="2429" w:type="dxa"/>
            <w:vAlign w:val="center"/>
          </w:tcPr>
          <w:p w14:paraId="7EA19CF6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Basal_Ganglia_R</w:t>
            </w:r>
          </w:p>
        </w:tc>
        <w:tc>
          <w:tcPr>
            <w:tcW w:w="5090" w:type="dxa"/>
            <w:vAlign w:val="center"/>
          </w:tcPr>
          <w:p w14:paraId="190F86E0" w14:textId="77777777" w:rsidR="001326AF" w:rsidRPr="00E404F1" w:rsidRDefault="001326AF" w:rsidP="00D741C1">
            <w:pPr>
              <w:rPr>
                <w:color w:val="auto"/>
                <w:lang w:val="pt-PT"/>
              </w:rPr>
            </w:pPr>
            <w:r w:rsidRPr="00E404F1">
              <w:rPr>
                <w:color w:val="auto"/>
                <w:lang w:val="pt-PT"/>
              </w:rPr>
              <w:t>Amygdala_R, Caudate_R, Putamen_R, Pallidum_R, Accumbens_Area_R, Insula_R</w:t>
            </w:r>
          </w:p>
        </w:tc>
      </w:tr>
      <w:tr w:rsidR="001326AF" w14:paraId="6543D7C6" w14:textId="77777777" w:rsidTr="00D741C1">
        <w:trPr>
          <w:jc w:val="center"/>
        </w:trPr>
        <w:tc>
          <w:tcPr>
            <w:tcW w:w="1003" w:type="dxa"/>
            <w:shd w:val="clear" w:color="auto" w:fill="D9E2F3"/>
            <w:vAlign w:val="center"/>
          </w:tcPr>
          <w:p w14:paraId="77A2564F" w14:textId="77777777" w:rsidR="001326AF" w:rsidRDefault="001326AF" w:rsidP="00D741C1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color w:val="auto"/>
              </w:rPr>
              <w:t>5</w:t>
            </w:r>
          </w:p>
        </w:tc>
        <w:tc>
          <w:tcPr>
            <w:tcW w:w="2429" w:type="dxa"/>
            <w:shd w:val="clear" w:color="auto" w:fill="D9E2F3"/>
            <w:vAlign w:val="center"/>
          </w:tcPr>
          <w:p w14:paraId="29D61E0B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Centrum_semiovale_L</w:t>
            </w:r>
          </w:p>
        </w:tc>
        <w:tc>
          <w:tcPr>
            <w:tcW w:w="5090" w:type="dxa"/>
            <w:shd w:val="clear" w:color="auto" w:fill="D9E2F3"/>
            <w:vAlign w:val="center"/>
          </w:tcPr>
          <w:p w14:paraId="164B63E4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Centrum_semiovale_L</w:t>
            </w:r>
          </w:p>
        </w:tc>
      </w:tr>
      <w:tr w:rsidR="001326AF" w14:paraId="1309584C" w14:textId="77777777" w:rsidTr="00D741C1">
        <w:trPr>
          <w:jc w:val="center"/>
        </w:trPr>
        <w:tc>
          <w:tcPr>
            <w:tcW w:w="1003" w:type="dxa"/>
            <w:vAlign w:val="center"/>
          </w:tcPr>
          <w:p w14:paraId="76B9BEBD" w14:textId="77777777" w:rsidR="001326AF" w:rsidRDefault="001326AF" w:rsidP="00D741C1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lastRenderedPageBreak/>
              <w:t>1</w:t>
            </w:r>
            <w:r>
              <w:rPr>
                <w:color w:val="auto"/>
              </w:rPr>
              <w:t>6</w:t>
            </w:r>
          </w:p>
        </w:tc>
        <w:tc>
          <w:tcPr>
            <w:tcW w:w="2429" w:type="dxa"/>
            <w:vAlign w:val="center"/>
          </w:tcPr>
          <w:p w14:paraId="4ED74382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Centrum_semiovale_R</w:t>
            </w:r>
          </w:p>
        </w:tc>
        <w:tc>
          <w:tcPr>
            <w:tcW w:w="5090" w:type="dxa"/>
            <w:vAlign w:val="center"/>
          </w:tcPr>
          <w:p w14:paraId="3345ACF7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Centrum_semiovale_R</w:t>
            </w:r>
          </w:p>
        </w:tc>
      </w:tr>
      <w:tr w:rsidR="001326AF" w14:paraId="2891DF9F" w14:textId="77777777" w:rsidTr="00D741C1">
        <w:trPr>
          <w:jc w:val="center"/>
        </w:trPr>
        <w:tc>
          <w:tcPr>
            <w:tcW w:w="1003" w:type="dxa"/>
            <w:tcBorders>
              <w:bottom w:val="single" w:sz="8" w:space="0" w:color="auto"/>
            </w:tcBorders>
            <w:shd w:val="clear" w:color="auto" w:fill="D9E2F3"/>
            <w:vAlign w:val="center"/>
          </w:tcPr>
          <w:p w14:paraId="688D29E8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17</w:t>
            </w:r>
          </w:p>
        </w:tc>
        <w:tc>
          <w:tcPr>
            <w:tcW w:w="2429" w:type="dxa"/>
            <w:tcBorders>
              <w:bottom w:val="single" w:sz="8" w:space="0" w:color="auto"/>
            </w:tcBorders>
            <w:shd w:val="clear" w:color="auto" w:fill="D9E2F3"/>
            <w:vAlign w:val="center"/>
          </w:tcPr>
          <w:p w14:paraId="0A8DA25E" w14:textId="77777777" w:rsidR="001326AF" w:rsidRDefault="001326AF" w:rsidP="00D741C1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B</w:t>
            </w:r>
            <w:r>
              <w:rPr>
                <w:color w:val="auto"/>
              </w:rPr>
              <w:t>rainstem</w:t>
            </w:r>
          </w:p>
        </w:tc>
        <w:tc>
          <w:tcPr>
            <w:tcW w:w="5090" w:type="dxa"/>
            <w:tcBorders>
              <w:bottom w:val="single" w:sz="8" w:space="0" w:color="auto"/>
            </w:tcBorders>
            <w:shd w:val="clear" w:color="auto" w:fill="D9E2F3"/>
            <w:vAlign w:val="center"/>
          </w:tcPr>
          <w:p w14:paraId="769AB800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Pons, Midbrain, Medulla, SCP</w:t>
            </w:r>
          </w:p>
        </w:tc>
      </w:tr>
    </w:tbl>
    <w:p w14:paraId="7F3CA7E8" w14:textId="77777777" w:rsidR="001326AF" w:rsidRDefault="001326AF" w:rsidP="001326AF">
      <w:pPr>
        <w:rPr>
          <w:color w:val="auto"/>
        </w:rPr>
      </w:pPr>
    </w:p>
    <w:p w14:paraId="5502649E" w14:textId="77777777" w:rsidR="001326AF" w:rsidRDefault="001326AF" w:rsidP="001326AF">
      <w:pPr>
        <w:rPr>
          <w:color w:val="auto"/>
        </w:rPr>
      </w:pPr>
      <w:r>
        <w:rPr>
          <w:color w:val="auto"/>
        </w:rPr>
        <w:br w:type="page"/>
      </w:r>
    </w:p>
    <w:p w14:paraId="57DAEC9F" w14:textId="77777777" w:rsidR="001326AF" w:rsidRDefault="001326AF" w:rsidP="001326AF">
      <w:pPr>
        <w:rPr>
          <w:color w:val="auto"/>
        </w:rPr>
      </w:pPr>
      <w:r>
        <w:rPr>
          <w:color w:val="auto"/>
        </w:rPr>
        <w:lastRenderedPageBreak/>
        <w:t>Supplementary Table 2. Hyperparameters used by the four models.</w:t>
      </w:r>
    </w:p>
    <w:tbl>
      <w:tblPr>
        <w:tblStyle w:val="TableGrid"/>
        <w:tblW w:w="87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"/>
        <w:gridCol w:w="845"/>
        <w:gridCol w:w="896"/>
        <w:gridCol w:w="1353"/>
        <w:gridCol w:w="1060"/>
        <w:gridCol w:w="3685"/>
      </w:tblGrid>
      <w:tr w:rsidR="001326AF" w14:paraId="0240B293" w14:textId="77777777" w:rsidTr="00D741C1">
        <w:trPr>
          <w:jc w:val="center"/>
        </w:trPr>
        <w:tc>
          <w:tcPr>
            <w:tcW w:w="90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4B466D5" w14:textId="77777777" w:rsidR="001326AF" w:rsidRDefault="001326AF" w:rsidP="00D741C1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M</w:t>
            </w:r>
            <w:r>
              <w:rPr>
                <w:color w:val="auto"/>
              </w:rPr>
              <w:t>odel</w:t>
            </w:r>
          </w:p>
        </w:tc>
        <w:tc>
          <w:tcPr>
            <w:tcW w:w="8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7D9AF68" w14:textId="77777777" w:rsidR="001326AF" w:rsidRDefault="001326AF" w:rsidP="00D741C1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N</w:t>
            </w:r>
            <w:r>
              <w:rPr>
                <w:color w:val="auto"/>
                <w:vertAlign w:val="subscript"/>
              </w:rPr>
              <w:t>(Input features)</w:t>
            </w:r>
          </w:p>
        </w:tc>
        <w:tc>
          <w:tcPr>
            <w:tcW w:w="8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52ADAD6" w14:textId="77777777" w:rsidR="001326AF" w:rsidRDefault="001326AF" w:rsidP="00D741C1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N</w:t>
            </w:r>
            <w:r>
              <w:rPr>
                <w:color w:val="auto"/>
                <w:vertAlign w:val="subscript"/>
              </w:rPr>
              <w:t>(Selected features)</w:t>
            </w:r>
          </w:p>
        </w:tc>
        <w:tc>
          <w:tcPr>
            <w:tcW w:w="135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1A041B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Preprocessor</w:t>
            </w:r>
          </w:p>
        </w:tc>
        <w:tc>
          <w:tcPr>
            <w:tcW w:w="10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91C5AC6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Classifier</w:t>
            </w:r>
          </w:p>
        </w:tc>
        <w:tc>
          <w:tcPr>
            <w:tcW w:w="36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D3250A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Hyperparameters</w:t>
            </w:r>
          </w:p>
        </w:tc>
      </w:tr>
      <w:tr w:rsidR="001326AF" w14:paraId="76CF1997" w14:textId="77777777" w:rsidTr="00D741C1">
        <w:trPr>
          <w:jc w:val="center"/>
        </w:trPr>
        <w:tc>
          <w:tcPr>
            <w:tcW w:w="902" w:type="dxa"/>
            <w:shd w:val="clear" w:color="auto" w:fill="D9E2F3"/>
            <w:vAlign w:val="center"/>
          </w:tcPr>
          <w:p w14:paraId="070F5EE3" w14:textId="77777777" w:rsidR="001326AF" w:rsidRDefault="001326AF" w:rsidP="00D741C1">
            <w:pPr>
              <w:rPr>
                <w:color w:val="auto"/>
                <w:lang w:bidi="ar"/>
              </w:rPr>
            </w:pPr>
            <w:r>
              <w:rPr>
                <w:color w:val="auto"/>
                <w:lang w:bidi="ar"/>
              </w:rPr>
              <w:t>MoCA</w:t>
            </w:r>
          </w:p>
        </w:tc>
        <w:tc>
          <w:tcPr>
            <w:tcW w:w="845" w:type="dxa"/>
            <w:shd w:val="clear" w:color="auto" w:fill="D9E2F3"/>
            <w:vAlign w:val="center"/>
          </w:tcPr>
          <w:p w14:paraId="73B7E7C1" w14:textId="77777777" w:rsidR="001326AF" w:rsidRDefault="001326AF" w:rsidP="00D741C1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color w:val="auto"/>
              </w:rPr>
              <w:t>2</w:t>
            </w:r>
          </w:p>
        </w:tc>
        <w:tc>
          <w:tcPr>
            <w:tcW w:w="896" w:type="dxa"/>
            <w:shd w:val="clear" w:color="auto" w:fill="D9E2F3"/>
            <w:vAlign w:val="center"/>
          </w:tcPr>
          <w:p w14:paraId="7142DE46" w14:textId="77777777" w:rsidR="001326AF" w:rsidRDefault="001326AF" w:rsidP="00D741C1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6</w:t>
            </w:r>
          </w:p>
        </w:tc>
        <w:tc>
          <w:tcPr>
            <w:tcW w:w="1353" w:type="dxa"/>
            <w:shd w:val="clear" w:color="auto" w:fill="D9E2F3"/>
            <w:vAlign w:val="center"/>
          </w:tcPr>
          <w:p w14:paraId="2D560836" w14:textId="77777777" w:rsidR="001326AF" w:rsidRDefault="001326AF" w:rsidP="00D741C1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Q</w:t>
            </w:r>
            <w:r>
              <w:rPr>
                <w:color w:val="auto"/>
              </w:rPr>
              <w:t>uantile transformer</w:t>
            </w:r>
          </w:p>
        </w:tc>
        <w:tc>
          <w:tcPr>
            <w:tcW w:w="1060" w:type="dxa"/>
            <w:shd w:val="clear" w:color="auto" w:fill="D9E2F3"/>
            <w:vAlign w:val="center"/>
          </w:tcPr>
          <w:p w14:paraId="5885BEEE" w14:textId="77777777" w:rsidR="001326AF" w:rsidRDefault="001326AF" w:rsidP="00D741C1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G</w:t>
            </w:r>
            <w:r>
              <w:rPr>
                <w:color w:val="auto"/>
              </w:rPr>
              <w:t>P</w:t>
            </w:r>
          </w:p>
        </w:tc>
        <w:tc>
          <w:tcPr>
            <w:tcW w:w="3685" w:type="dxa"/>
            <w:shd w:val="clear" w:color="auto" w:fill="D9E2F3"/>
            <w:vAlign w:val="center"/>
          </w:tcPr>
          <w:p w14:paraId="1DFA9CF6" w14:textId="77777777" w:rsidR="001326AF" w:rsidRDefault="001326AF" w:rsidP="001326AF">
            <w:pPr>
              <w:pStyle w:val="ListParagraph"/>
              <w:numPr>
                <w:ilvl w:val="0"/>
                <w:numId w:val="1"/>
              </w:numPr>
              <w:ind w:left="227"/>
              <w:contextualSpacing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S</w:t>
            </w:r>
            <w:r>
              <w:rPr>
                <w:color w:val="auto"/>
              </w:rPr>
              <w:t>moothness: 1.0</w:t>
            </w:r>
          </w:p>
          <w:p w14:paraId="32643D72" w14:textId="77777777" w:rsidR="001326AF" w:rsidRDefault="001326AF" w:rsidP="001326AF">
            <w:pPr>
              <w:pStyle w:val="ListParagraph"/>
              <w:numPr>
                <w:ilvl w:val="0"/>
                <w:numId w:val="1"/>
              </w:numPr>
              <w:ind w:left="227"/>
              <w:contextualSpacing w:val="0"/>
              <w:rPr>
                <w:color w:val="auto"/>
              </w:rPr>
            </w:pPr>
            <w:r>
              <w:rPr>
                <w:color w:val="auto"/>
              </w:rPr>
              <w:t>R</w:t>
            </w:r>
            <w:r>
              <w:rPr>
                <w:rFonts w:hint="eastAsia"/>
                <w:color w:val="auto"/>
              </w:rPr>
              <w:t>efitting</w:t>
            </w:r>
            <w:r>
              <w:rPr>
                <w:color w:val="auto"/>
              </w:rPr>
              <w:t xml:space="preserve"> iterations: 10</w:t>
            </w:r>
          </w:p>
          <w:p w14:paraId="4A95FB1B" w14:textId="77777777" w:rsidR="001326AF" w:rsidRDefault="001326AF" w:rsidP="001326AF">
            <w:pPr>
              <w:pStyle w:val="ListParagraph"/>
              <w:numPr>
                <w:ilvl w:val="0"/>
                <w:numId w:val="2"/>
              </w:numPr>
              <w:ind w:left="227"/>
              <w:contextualSpacing w:val="0"/>
              <w:rPr>
                <w:color w:val="auto"/>
              </w:rPr>
            </w:pPr>
            <w:r>
              <w:rPr>
                <w:color w:val="auto"/>
              </w:rPr>
              <w:t>Classification threshold: 0.76</w:t>
            </w:r>
          </w:p>
        </w:tc>
      </w:tr>
      <w:tr w:rsidR="001326AF" w14:paraId="7E2DDD09" w14:textId="77777777" w:rsidTr="00D741C1">
        <w:trPr>
          <w:jc w:val="center"/>
        </w:trPr>
        <w:tc>
          <w:tcPr>
            <w:tcW w:w="902" w:type="dxa"/>
            <w:shd w:val="clear" w:color="auto" w:fill="auto"/>
            <w:vAlign w:val="center"/>
          </w:tcPr>
          <w:p w14:paraId="0215AD72" w14:textId="77777777" w:rsidR="001326AF" w:rsidRDefault="001326AF" w:rsidP="00D741C1">
            <w:pPr>
              <w:rPr>
                <w:color w:val="auto"/>
                <w:lang w:bidi="ar"/>
              </w:rPr>
            </w:pPr>
            <w:r>
              <w:rPr>
                <w:color w:val="auto"/>
                <w:lang w:bidi="ar"/>
              </w:rPr>
              <w:t>PSQI</w:t>
            </w:r>
          </w:p>
        </w:tc>
        <w:tc>
          <w:tcPr>
            <w:tcW w:w="845" w:type="dxa"/>
            <w:vAlign w:val="center"/>
          </w:tcPr>
          <w:p w14:paraId="14AB9DFF" w14:textId="77777777" w:rsidR="001326AF" w:rsidRDefault="001326AF" w:rsidP="00D741C1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color w:val="auto"/>
              </w:rPr>
              <w:t>2</w:t>
            </w:r>
          </w:p>
        </w:tc>
        <w:tc>
          <w:tcPr>
            <w:tcW w:w="896" w:type="dxa"/>
            <w:vAlign w:val="center"/>
          </w:tcPr>
          <w:p w14:paraId="16D9003B" w14:textId="77777777" w:rsidR="001326AF" w:rsidRDefault="001326AF" w:rsidP="00D741C1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6</w:t>
            </w:r>
          </w:p>
        </w:tc>
        <w:tc>
          <w:tcPr>
            <w:tcW w:w="1353" w:type="dxa"/>
            <w:vAlign w:val="center"/>
          </w:tcPr>
          <w:p w14:paraId="1DEA9195" w14:textId="77777777" w:rsidR="001326AF" w:rsidRDefault="001326AF" w:rsidP="00D741C1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z</w:t>
            </w:r>
            <w:r>
              <w:rPr>
                <w:color w:val="auto"/>
              </w:rPr>
              <w:t>-score scaler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4ADFB2CE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DT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2DB7317" w14:textId="77777777" w:rsidR="001326AF" w:rsidRDefault="001326AF" w:rsidP="001326AF">
            <w:pPr>
              <w:pStyle w:val="ListParagraph"/>
              <w:numPr>
                <w:ilvl w:val="0"/>
                <w:numId w:val="3"/>
              </w:numPr>
              <w:ind w:left="227"/>
              <w:contextualSpacing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C</w:t>
            </w:r>
            <w:r>
              <w:rPr>
                <w:color w:val="auto"/>
              </w:rPr>
              <w:t>lass weight: None</w:t>
            </w:r>
          </w:p>
          <w:p w14:paraId="37DADC33" w14:textId="77777777" w:rsidR="001326AF" w:rsidRDefault="001326AF" w:rsidP="001326AF">
            <w:pPr>
              <w:pStyle w:val="ListParagraph"/>
              <w:numPr>
                <w:ilvl w:val="0"/>
                <w:numId w:val="3"/>
              </w:numPr>
              <w:ind w:left="227"/>
              <w:contextualSpacing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C</w:t>
            </w:r>
            <w:r>
              <w:rPr>
                <w:color w:val="auto"/>
              </w:rPr>
              <w:t>riterion: Gini impurity</w:t>
            </w:r>
          </w:p>
          <w:p w14:paraId="623E55C3" w14:textId="77777777" w:rsidR="001326AF" w:rsidRDefault="001326AF" w:rsidP="001326AF">
            <w:pPr>
              <w:pStyle w:val="ListParagraph"/>
              <w:numPr>
                <w:ilvl w:val="0"/>
                <w:numId w:val="3"/>
              </w:numPr>
              <w:ind w:left="227"/>
              <w:contextualSpacing w:val="0"/>
              <w:rPr>
                <w:color w:val="auto"/>
              </w:rPr>
            </w:pPr>
            <w:r>
              <w:rPr>
                <w:color w:val="auto"/>
              </w:rPr>
              <w:t>Max depth: 4</w:t>
            </w:r>
          </w:p>
          <w:p w14:paraId="0C6D0464" w14:textId="77777777" w:rsidR="001326AF" w:rsidRDefault="001326AF" w:rsidP="001326AF">
            <w:pPr>
              <w:pStyle w:val="ListParagraph"/>
              <w:numPr>
                <w:ilvl w:val="0"/>
                <w:numId w:val="3"/>
              </w:numPr>
              <w:ind w:left="227"/>
              <w:contextualSpacing w:val="0"/>
              <w:rPr>
                <w:color w:val="auto"/>
              </w:rPr>
            </w:pPr>
            <w:r>
              <w:rPr>
                <w:color w:val="auto"/>
              </w:rPr>
              <w:t>Minimum samples per leaf: 1</w:t>
            </w:r>
          </w:p>
          <w:p w14:paraId="4D4E2F0B" w14:textId="77777777" w:rsidR="001326AF" w:rsidRDefault="001326AF" w:rsidP="001326AF">
            <w:pPr>
              <w:pStyle w:val="ListParagraph"/>
              <w:numPr>
                <w:ilvl w:val="0"/>
                <w:numId w:val="3"/>
              </w:numPr>
              <w:ind w:left="227"/>
              <w:contextualSpacing w:val="0"/>
              <w:rPr>
                <w:color w:val="auto"/>
              </w:rPr>
            </w:pPr>
            <w:r>
              <w:rPr>
                <w:color w:val="auto"/>
              </w:rPr>
              <w:t>Minimum samples for a node split: 2</w:t>
            </w:r>
          </w:p>
          <w:p w14:paraId="4B6F941C" w14:textId="77777777" w:rsidR="001326AF" w:rsidRDefault="001326AF" w:rsidP="001326AF">
            <w:pPr>
              <w:pStyle w:val="ListParagraph"/>
              <w:numPr>
                <w:ilvl w:val="0"/>
                <w:numId w:val="3"/>
              </w:numPr>
              <w:ind w:left="227"/>
              <w:contextualSpacing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S</w:t>
            </w:r>
            <w:r>
              <w:rPr>
                <w:color w:val="auto"/>
              </w:rPr>
              <w:t>plitting strategy: best split</w:t>
            </w:r>
          </w:p>
          <w:p w14:paraId="1291CB38" w14:textId="77777777" w:rsidR="001326AF" w:rsidRDefault="001326AF" w:rsidP="001326AF">
            <w:pPr>
              <w:pStyle w:val="ListParagraph"/>
              <w:numPr>
                <w:ilvl w:val="0"/>
                <w:numId w:val="3"/>
              </w:numPr>
              <w:ind w:left="227"/>
              <w:contextualSpacing w:val="0"/>
              <w:rPr>
                <w:color w:val="auto"/>
              </w:rPr>
            </w:pPr>
            <w:r>
              <w:rPr>
                <w:color w:val="auto"/>
              </w:rPr>
              <w:t>Classification threshold: 0.85</w:t>
            </w:r>
          </w:p>
        </w:tc>
      </w:tr>
      <w:tr w:rsidR="001326AF" w14:paraId="07E5E19A" w14:textId="77777777" w:rsidTr="00D741C1">
        <w:trPr>
          <w:jc w:val="center"/>
        </w:trPr>
        <w:tc>
          <w:tcPr>
            <w:tcW w:w="902" w:type="dxa"/>
            <w:shd w:val="clear" w:color="auto" w:fill="D9E2F3"/>
            <w:vAlign w:val="center"/>
          </w:tcPr>
          <w:p w14:paraId="40859D3A" w14:textId="77777777" w:rsidR="001326AF" w:rsidRDefault="001326AF" w:rsidP="00D741C1">
            <w:pPr>
              <w:rPr>
                <w:color w:val="auto"/>
                <w:lang w:bidi="ar"/>
              </w:rPr>
            </w:pPr>
            <w:r>
              <w:rPr>
                <w:rFonts w:hint="eastAsia"/>
                <w:color w:val="auto"/>
                <w:lang w:bidi="ar"/>
              </w:rPr>
              <w:t>I</w:t>
            </w:r>
            <w:r>
              <w:rPr>
                <w:color w:val="auto"/>
                <w:lang w:bidi="ar"/>
              </w:rPr>
              <w:t>SI</w:t>
            </w:r>
          </w:p>
        </w:tc>
        <w:tc>
          <w:tcPr>
            <w:tcW w:w="845" w:type="dxa"/>
            <w:shd w:val="clear" w:color="auto" w:fill="D9E2F3"/>
            <w:vAlign w:val="center"/>
          </w:tcPr>
          <w:p w14:paraId="60ED96C1" w14:textId="77777777" w:rsidR="001326AF" w:rsidRDefault="001326AF" w:rsidP="00D741C1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color w:val="auto"/>
              </w:rPr>
              <w:t>2</w:t>
            </w:r>
          </w:p>
        </w:tc>
        <w:tc>
          <w:tcPr>
            <w:tcW w:w="896" w:type="dxa"/>
            <w:shd w:val="clear" w:color="auto" w:fill="D9E2F3"/>
            <w:vAlign w:val="center"/>
          </w:tcPr>
          <w:p w14:paraId="15BD5E68" w14:textId="77777777" w:rsidR="001326AF" w:rsidRDefault="001326AF" w:rsidP="00D741C1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6</w:t>
            </w:r>
          </w:p>
        </w:tc>
        <w:tc>
          <w:tcPr>
            <w:tcW w:w="1353" w:type="dxa"/>
            <w:shd w:val="clear" w:color="auto" w:fill="D9E2F3"/>
            <w:vAlign w:val="center"/>
          </w:tcPr>
          <w:p w14:paraId="1CDB6BAA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BOX-COX transformer</w:t>
            </w:r>
          </w:p>
        </w:tc>
        <w:tc>
          <w:tcPr>
            <w:tcW w:w="1060" w:type="dxa"/>
            <w:shd w:val="clear" w:color="auto" w:fill="D9E2F3"/>
            <w:vAlign w:val="center"/>
          </w:tcPr>
          <w:p w14:paraId="28BE0EDC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GP</w:t>
            </w:r>
          </w:p>
        </w:tc>
        <w:tc>
          <w:tcPr>
            <w:tcW w:w="3685" w:type="dxa"/>
            <w:shd w:val="clear" w:color="auto" w:fill="D9E2F3"/>
            <w:vAlign w:val="center"/>
          </w:tcPr>
          <w:p w14:paraId="1E4CC6F2" w14:textId="77777777" w:rsidR="001326AF" w:rsidRDefault="001326AF" w:rsidP="001326AF">
            <w:pPr>
              <w:pStyle w:val="ListParagraph"/>
              <w:numPr>
                <w:ilvl w:val="0"/>
                <w:numId w:val="1"/>
              </w:numPr>
              <w:ind w:left="227"/>
              <w:contextualSpacing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S</w:t>
            </w:r>
            <w:r>
              <w:rPr>
                <w:color w:val="auto"/>
              </w:rPr>
              <w:t>moothness: 1.0</w:t>
            </w:r>
          </w:p>
          <w:p w14:paraId="0278EE29" w14:textId="77777777" w:rsidR="001326AF" w:rsidRDefault="001326AF" w:rsidP="001326AF">
            <w:pPr>
              <w:pStyle w:val="ListParagraph"/>
              <w:numPr>
                <w:ilvl w:val="0"/>
                <w:numId w:val="1"/>
              </w:numPr>
              <w:ind w:left="227"/>
              <w:contextualSpacing w:val="0"/>
              <w:rPr>
                <w:color w:val="auto"/>
              </w:rPr>
            </w:pPr>
            <w:r>
              <w:rPr>
                <w:color w:val="auto"/>
              </w:rPr>
              <w:t>R</w:t>
            </w:r>
            <w:r>
              <w:rPr>
                <w:rFonts w:hint="eastAsia"/>
                <w:color w:val="auto"/>
              </w:rPr>
              <w:t>efitting</w:t>
            </w:r>
            <w:r>
              <w:rPr>
                <w:color w:val="auto"/>
              </w:rPr>
              <w:t xml:space="preserve"> iterations: 10</w:t>
            </w:r>
          </w:p>
          <w:p w14:paraId="74554FDE" w14:textId="77777777" w:rsidR="001326AF" w:rsidRDefault="001326AF" w:rsidP="001326AF">
            <w:pPr>
              <w:pStyle w:val="ListParagraph"/>
              <w:numPr>
                <w:ilvl w:val="0"/>
                <w:numId w:val="1"/>
              </w:numPr>
              <w:ind w:left="227"/>
              <w:contextualSpacing w:val="0"/>
              <w:rPr>
                <w:color w:val="auto"/>
              </w:rPr>
            </w:pPr>
            <w:r>
              <w:rPr>
                <w:color w:val="auto"/>
              </w:rPr>
              <w:t>Classification threshold: 0.51</w:t>
            </w:r>
          </w:p>
        </w:tc>
      </w:tr>
      <w:tr w:rsidR="001326AF" w14:paraId="4BAA33E6" w14:textId="77777777" w:rsidTr="00D741C1">
        <w:trPr>
          <w:jc w:val="center"/>
        </w:trPr>
        <w:tc>
          <w:tcPr>
            <w:tcW w:w="90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90C955C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  <w:lang w:bidi="ar"/>
              </w:rPr>
              <w:t>ESS</w:t>
            </w:r>
          </w:p>
        </w:tc>
        <w:tc>
          <w:tcPr>
            <w:tcW w:w="84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2CA97AF" w14:textId="77777777" w:rsidR="001326AF" w:rsidRDefault="001326AF" w:rsidP="00D741C1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color w:val="auto"/>
              </w:rPr>
              <w:t>2</w:t>
            </w:r>
          </w:p>
        </w:tc>
        <w:tc>
          <w:tcPr>
            <w:tcW w:w="89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129BCF7" w14:textId="77777777" w:rsidR="001326AF" w:rsidRDefault="001326AF" w:rsidP="00D741C1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6</w:t>
            </w:r>
          </w:p>
        </w:tc>
        <w:tc>
          <w:tcPr>
            <w:tcW w:w="1353" w:type="dxa"/>
            <w:tcBorders>
              <w:bottom w:val="single" w:sz="8" w:space="0" w:color="auto"/>
            </w:tcBorders>
            <w:vAlign w:val="center"/>
          </w:tcPr>
          <w:p w14:paraId="3942FF89" w14:textId="77777777" w:rsidR="001326AF" w:rsidRDefault="001326AF" w:rsidP="00D741C1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Q</w:t>
            </w:r>
            <w:r>
              <w:rPr>
                <w:color w:val="auto"/>
              </w:rPr>
              <w:t>uantile transformer</w:t>
            </w: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A520043" w14:textId="77777777" w:rsidR="001326AF" w:rsidRDefault="001326AF" w:rsidP="00D741C1">
            <w:pPr>
              <w:rPr>
                <w:color w:val="auto"/>
              </w:rPr>
            </w:pPr>
            <w:r>
              <w:rPr>
                <w:color w:val="auto"/>
              </w:rPr>
              <w:t>DT</w:t>
            </w:r>
          </w:p>
        </w:tc>
        <w:tc>
          <w:tcPr>
            <w:tcW w:w="368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6E0F950" w14:textId="77777777" w:rsidR="001326AF" w:rsidRDefault="001326AF" w:rsidP="001326AF">
            <w:pPr>
              <w:pStyle w:val="ListParagraph"/>
              <w:numPr>
                <w:ilvl w:val="0"/>
                <w:numId w:val="3"/>
              </w:numPr>
              <w:ind w:left="227"/>
              <w:contextualSpacing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C</w:t>
            </w:r>
            <w:r>
              <w:rPr>
                <w:color w:val="auto"/>
              </w:rPr>
              <w:t>lass weight: None</w:t>
            </w:r>
          </w:p>
          <w:p w14:paraId="4FC925EA" w14:textId="77777777" w:rsidR="001326AF" w:rsidRDefault="001326AF" w:rsidP="001326AF">
            <w:pPr>
              <w:pStyle w:val="ListParagraph"/>
              <w:numPr>
                <w:ilvl w:val="0"/>
                <w:numId w:val="3"/>
              </w:numPr>
              <w:ind w:left="227"/>
              <w:contextualSpacing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C</w:t>
            </w:r>
            <w:r>
              <w:rPr>
                <w:color w:val="auto"/>
              </w:rPr>
              <w:t>riterion: Gini impurity</w:t>
            </w:r>
          </w:p>
          <w:p w14:paraId="72C05028" w14:textId="77777777" w:rsidR="001326AF" w:rsidRDefault="001326AF" w:rsidP="001326AF">
            <w:pPr>
              <w:pStyle w:val="ListParagraph"/>
              <w:numPr>
                <w:ilvl w:val="0"/>
                <w:numId w:val="3"/>
              </w:numPr>
              <w:ind w:left="227"/>
              <w:contextualSpacing w:val="0"/>
              <w:rPr>
                <w:color w:val="auto"/>
              </w:rPr>
            </w:pPr>
            <w:r>
              <w:rPr>
                <w:color w:val="auto"/>
              </w:rPr>
              <w:t>Max depth: 4</w:t>
            </w:r>
          </w:p>
          <w:p w14:paraId="56CFF9AD" w14:textId="77777777" w:rsidR="001326AF" w:rsidRDefault="001326AF" w:rsidP="001326AF">
            <w:pPr>
              <w:pStyle w:val="ListParagraph"/>
              <w:numPr>
                <w:ilvl w:val="0"/>
                <w:numId w:val="3"/>
              </w:numPr>
              <w:ind w:left="227"/>
              <w:contextualSpacing w:val="0"/>
              <w:rPr>
                <w:color w:val="auto"/>
              </w:rPr>
            </w:pPr>
            <w:r>
              <w:rPr>
                <w:color w:val="auto"/>
              </w:rPr>
              <w:t>Minimum samples per leaf: 1</w:t>
            </w:r>
          </w:p>
          <w:p w14:paraId="03AA5877" w14:textId="77777777" w:rsidR="001326AF" w:rsidRDefault="001326AF" w:rsidP="001326AF">
            <w:pPr>
              <w:pStyle w:val="ListParagraph"/>
              <w:numPr>
                <w:ilvl w:val="0"/>
                <w:numId w:val="3"/>
              </w:numPr>
              <w:ind w:left="227"/>
              <w:contextualSpacing w:val="0"/>
              <w:rPr>
                <w:color w:val="auto"/>
              </w:rPr>
            </w:pPr>
            <w:r>
              <w:rPr>
                <w:color w:val="auto"/>
              </w:rPr>
              <w:t>Minimum samples for a node split: 2</w:t>
            </w:r>
          </w:p>
          <w:p w14:paraId="39106EF3" w14:textId="77777777" w:rsidR="001326AF" w:rsidRDefault="001326AF" w:rsidP="001326AF">
            <w:pPr>
              <w:pStyle w:val="ListParagraph"/>
              <w:numPr>
                <w:ilvl w:val="0"/>
                <w:numId w:val="3"/>
              </w:numPr>
              <w:ind w:left="227"/>
              <w:contextualSpacing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S</w:t>
            </w:r>
            <w:r>
              <w:rPr>
                <w:color w:val="auto"/>
              </w:rPr>
              <w:t>plitting strategy: best split</w:t>
            </w:r>
          </w:p>
          <w:p w14:paraId="467D3013" w14:textId="77777777" w:rsidR="001326AF" w:rsidRDefault="001326AF" w:rsidP="001326AF">
            <w:pPr>
              <w:pStyle w:val="ListParagraph"/>
              <w:numPr>
                <w:ilvl w:val="0"/>
                <w:numId w:val="3"/>
              </w:numPr>
              <w:ind w:left="227"/>
              <w:contextualSpacing w:val="0"/>
              <w:rPr>
                <w:color w:val="auto"/>
              </w:rPr>
            </w:pPr>
            <w:r>
              <w:rPr>
                <w:color w:val="auto"/>
              </w:rPr>
              <w:t>Classification threshold: 0.80</w:t>
            </w:r>
          </w:p>
        </w:tc>
      </w:tr>
    </w:tbl>
    <w:p w14:paraId="5B95E714" w14:textId="77777777" w:rsidR="001326AF" w:rsidRDefault="001326AF" w:rsidP="001326AF">
      <w:pPr>
        <w:rPr>
          <w:color w:val="auto"/>
        </w:rPr>
      </w:pPr>
    </w:p>
    <w:p w14:paraId="20CED305" w14:textId="77777777" w:rsidR="001326AF" w:rsidRDefault="001326AF" w:rsidP="001326AF">
      <w:pPr>
        <w:rPr>
          <w:color w:val="auto"/>
        </w:rPr>
      </w:pPr>
      <w:r>
        <w:rPr>
          <w:color w:val="auto"/>
        </w:rPr>
        <w:br w:type="page"/>
      </w:r>
    </w:p>
    <w:p w14:paraId="398217BF" w14:textId="77777777" w:rsidR="001326AF" w:rsidRDefault="001326AF" w:rsidP="001326AF">
      <w:pPr>
        <w:rPr>
          <w:color w:val="auto"/>
          <w:szCs w:val="28"/>
        </w:rPr>
      </w:pPr>
      <w:r>
        <w:rPr>
          <w:noProof/>
          <w:color w:val="auto"/>
        </w:rPr>
        <w:lastRenderedPageBreak/>
        <w:drawing>
          <wp:inline distT="0" distB="0" distL="0" distR="0" wp14:anchorId="60CF1727" wp14:editId="03B8182D">
            <wp:extent cx="5274310" cy="137604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7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5C550" w14:textId="77777777" w:rsidR="001326AF" w:rsidRDefault="001326AF" w:rsidP="001326AF">
      <w:pPr>
        <w:rPr>
          <w:color w:val="auto"/>
        </w:rPr>
      </w:pPr>
      <w:r>
        <w:rPr>
          <w:color w:val="auto"/>
        </w:rPr>
        <w:t xml:space="preserve">Supplementary Figure 1. Distribution of cognitive function, sleep quality, insomnia, and subjective excessive daytime sleepiness for all participants. A label </w:t>
      </w:r>
      <w:bookmarkStart w:id="0" w:name="OLE_LINK1"/>
      <w:r>
        <w:rPr>
          <w:color w:val="auto"/>
        </w:rPr>
        <w:t>“0”</w:t>
      </w:r>
      <w:bookmarkEnd w:id="0"/>
      <w:r>
        <w:rPr>
          <w:color w:val="auto"/>
        </w:rPr>
        <w:t xml:space="preserve"> in each of the four dimensions represents cognitive normalization, good sleep quality, non-insomnia, and non-sleepiness, while a “1” represents cognitive impairment sleep quality, insomnia, and sleepiness.</w:t>
      </w:r>
    </w:p>
    <w:p w14:paraId="79FF807A" w14:textId="77777777" w:rsidR="001326AF" w:rsidRDefault="001326AF" w:rsidP="001326AF">
      <w:pPr>
        <w:rPr>
          <w:color w:val="auto"/>
        </w:rPr>
      </w:pPr>
      <w:r>
        <w:rPr>
          <w:color w:val="auto"/>
        </w:rPr>
        <w:br w:type="page"/>
      </w:r>
    </w:p>
    <w:p w14:paraId="59F0B02B" w14:textId="77777777" w:rsidR="001326AF" w:rsidRDefault="001326AF" w:rsidP="001326AF">
      <w:pPr>
        <w:rPr>
          <w:sz w:val="22"/>
        </w:rPr>
      </w:pPr>
      <w:r>
        <w:rPr>
          <w:noProof/>
        </w:rPr>
        <w:lastRenderedPageBreak/>
        <w:drawing>
          <wp:inline distT="0" distB="0" distL="0" distR="0" wp14:anchorId="48842421" wp14:editId="106ADF28">
            <wp:extent cx="5274310" cy="6185535"/>
            <wp:effectExtent l="0" t="0" r="2540" b="57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8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35889" w14:textId="77777777" w:rsidR="001326AF" w:rsidRDefault="001326AF" w:rsidP="001326AF">
      <w:pPr>
        <w:rPr>
          <w:b/>
          <w:bCs/>
          <w:color w:val="auto"/>
        </w:rPr>
      </w:pPr>
      <w:r>
        <w:rPr>
          <w:b/>
          <w:bCs/>
          <w:color w:val="auto"/>
        </w:rPr>
        <w:t xml:space="preserve">Supplementary Figure 1. </w:t>
      </w:r>
      <w:bookmarkStart w:id="1" w:name="_Hlk172539414"/>
      <w:r>
        <w:rPr>
          <w:b/>
          <w:bCs/>
          <w:color w:val="auto"/>
        </w:rPr>
        <w:t>Distribution of the six features used for the MoCA prediction model.</w:t>
      </w:r>
      <w:bookmarkEnd w:id="1"/>
      <w:r>
        <w:rPr>
          <w:b/>
          <w:bCs/>
          <w:color w:val="auto"/>
        </w:rPr>
        <w:t xml:space="preserve"> </w:t>
      </w:r>
      <w:r>
        <w:rPr>
          <w:color w:val="auto"/>
        </w:rPr>
        <w:t xml:space="preserve">The feature distributions of participants with or without cognitive impairment in the training and testing datasets are visualized in </w:t>
      </w:r>
      <w:r>
        <w:rPr>
          <w:b/>
          <w:bCs/>
          <w:color w:val="auto"/>
        </w:rPr>
        <w:t>(a ~ f)</w:t>
      </w:r>
      <w:r>
        <w:rPr>
          <w:color w:val="auto"/>
        </w:rPr>
        <w:t xml:space="preserve"> and </w:t>
      </w:r>
      <w:r>
        <w:rPr>
          <w:b/>
          <w:bCs/>
          <w:color w:val="auto"/>
        </w:rPr>
        <w:t>(g ~ l)</w:t>
      </w:r>
      <w:r>
        <w:rPr>
          <w:color w:val="auto"/>
        </w:rPr>
        <w:t xml:space="preserve">, respectively. Age distribution is represented by histograms and Gaussian curves. The box-and-whisker plot in the violin plot covers the 25% ~ 75% measurement range and is labeled median, 25% percentile, and 75% percentile. Data points are arranged in a swarm fashion to ensure that they do not overlap, and outliers are marked with black-edged circles. Statistical analyses are performed between the cognitive normalization </w:t>
      </w:r>
      <w:r>
        <w:rPr>
          <w:color w:val="auto"/>
        </w:rPr>
        <w:lastRenderedPageBreak/>
        <w:t xml:space="preserve">and cognitive impairment groups using Mann-Whitney </w:t>
      </w:r>
      <w:r>
        <w:rPr>
          <w:i/>
          <w:iCs/>
          <w:color w:val="auto"/>
        </w:rPr>
        <w:t>U</w:t>
      </w:r>
      <w:r>
        <w:rPr>
          <w:color w:val="auto"/>
        </w:rPr>
        <w:t xml:space="preserve"> tests. The asterisk represents two-tailed </w:t>
      </w:r>
      <w:r>
        <w:rPr>
          <w:i/>
          <w:iCs/>
          <w:color w:val="auto"/>
        </w:rPr>
        <w:t>p</w:t>
      </w:r>
      <w:r>
        <w:rPr>
          <w:color w:val="auto"/>
        </w:rPr>
        <w:t xml:space="preserve"> value, with ** indicating </w:t>
      </w:r>
      <w:r>
        <w:rPr>
          <w:i/>
          <w:iCs/>
          <w:color w:val="auto"/>
        </w:rPr>
        <w:t>p</w:t>
      </w:r>
      <w:r>
        <w:rPr>
          <w:color w:val="auto"/>
        </w:rPr>
        <w:t xml:space="preserve"> &lt; 0.01 and * indicating </w:t>
      </w:r>
      <w:r>
        <w:rPr>
          <w:i/>
          <w:iCs/>
          <w:color w:val="auto"/>
        </w:rPr>
        <w:t>p</w:t>
      </w:r>
      <w:r>
        <w:rPr>
          <w:color w:val="auto"/>
        </w:rPr>
        <w:t xml:space="preserve"> &lt; 0.05.</w:t>
      </w:r>
    </w:p>
    <w:p w14:paraId="72883D5C" w14:textId="77777777" w:rsidR="001326AF" w:rsidRDefault="001326AF" w:rsidP="001326AF">
      <w:pPr>
        <w:rPr>
          <w:sz w:val="22"/>
        </w:rPr>
      </w:pPr>
      <w:r>
        <w:rPr>
          <w:noProof/>
        </w:rPr>
        <w:drawing>
          <wp:inline distT="0" distB="0" distL="0" distR="0" wp14:anchorId="6EFFBAD9" wp14:editId="63B0154F">
            <wp:extent cx="5274310" cy="6271895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7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6D819" w14:textId="77777777" w:rsidR="001326AF" w:rsidRDefault="001326AF" w:rsidP="001326AF">
      <w:pPr>
        <w:rPr>
          <w:color w:val="auto"/>
        </w:rPr>
      </w:pPr>
      <w:r>
        <w:rPr>
          <w:b/>
          <w:bCs/>
          <w:color w:val="auto"/>
        </w:rPr>
        <w:t xml:space="preserve">Supplementary Figure 2. Distribution of the six features used for the PSQI prediction model. </w:t>
      </w:r>
      <w:r>
        <w:rPr>
          <w:color w:val="auto"/>
        </w:rPr>
        <w:t xml:space="preserve">The feature distributions of participants with good and poor </w:t>
      </w:r>
      <w:r>
        <w:rPr>
          <w:rFonts w:eastAsia="Times-Roman"/>
          <w:color w:val="000000" w:themeColor="text1"/>
        </w:rPr>
        <w:t xml:space="preserve">subjective </w:t>
      </w:r>
      <w:r>
        <w:rPr>
          <w:color w:val="000000" w:themeColor="text1"/>
        </w:rPr>
        <w:t>slee</w:t>
      </w:r>
      <w:r>
        <w:rPr>
          <w:color w:val="auto"/>
        </w:rPr>
        <w:t xml:space="preserve">p quality in the training and testing datasets are visualized in </w:t>
      </w:r>
      <w:r>
        <w:rPr>
          <w:b/>
          <w:bCs/>
          <w:color w:val="auto"/>
        </w:rPr>
        <w:t>(a ~ f)</w:t>
      </w:r>
      <w:r>
        <w:rPr>
          <w:color w:val="auto"/>
        </w:rPr>
        <w:t xml:space="preserve"> and </w:t>
      </w:r>
      <w:r>
        <w:rPr>
          <w:b/>
          <w:bCs/>
          <w:color w:val="auto"/>
        </w:rPr>
        <w:t>(g ~ l)</w:t>
      </w:r>
      <w:r>
        <w:rPr>
          <w:color w:val="auto"/>
        </w:rPr>
        <w:t xml:space="preserve">, respectively. The box-and-whisker plot in the violin plot covers the 25% ~ 75% measurement range and is labeled median, 25% percentile, and 75% percentile. Data points are arranged in a swarm fashion to ensure that they do not overlap, and outliers </w:t>
      </w:r>
      <w:r>
        <w:rPr>
          <w:color w:val="auto"/>
        </w:rPr>
        <w:lastRenderedPageBreak/>
        <w:t xml:space="preserve">are marked with black-edged circles. Statistical analyses are performed between the good sleep and poor sleep groups using Mann-Whitney </w:t>
      </w:r>
      <w:r>
        <w:rPr>
          <w:i/>
          <w:iCs/>
          <w:color w:val="auto"/>
        </w:rPr>
        <w:t>U</w:t>
      </w:r>
      <w:r>
        <w:rPr>
          <w:color w:val="auto"/>
        </w:rPr>
        <w:t xml:space="preserve"> tests, and no significant differences are found.</w:t>
      </w:r>
    </w:p>
    <w:p w14:paraId="6EBD2F31" w14:textId="77777777" w:rsidR="001326AF" w:rsidRDefault="001326AF" w:rsidP="001326AF">
      <w:pPr>
        <w:rPr>
          <w:sz w:val="22"/>
        </w:rPr>
      </w:pPr>
      <w:r>
        <w:rPr>
          <w:noProof/>
        </w:rPr>
        <w:drawing>
          <wp:inline distT="0" distB="0" distL="0" distR="0" wp14:anchorId="752E68EA" wp14:editId="107BC475">
            <wp:extent cx="5274310" cy="6273165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7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84B3B" w14:textId="77777777" w:rsidR="001326AF" w:rsidRDefault="001326AF" w:rsidP="001326AF">
      <w:pPr>
        <w:rPr>
          <w:color w:val="auto"/>
        </w:rPr>
      </w:pPr>
      <w:r>
        <w:rPr>
          <w:b/>
          <w:bCs/>
          <w:color w:val="auto"/>
        </w:rPr>
        <w:t xml:space="preserve">Supplementary Figure 3. Distribution of the six features used for the ISI prediction model. </w:t>
      </w:r>
      <w:r>
        <w:rPr>
          <w:color w:val="auto"/>
        </w:rPr>
        <w:t>The feature distributions of</w:t>
      </w:r>
      <w:r>
        <w:rPr>
          <w:color w:val="000000" w:themeColor="text1"/>
        </w:rPr>
        <w:t xml:space="preserve"> insomniac and non-insomniac participants in the training and testing datasets are visualized in </w:t>
      </w:r>
      <w:r>
        <w:rPr>
          <w:b/>
          <w:bCs/>
          <w:color w:val="000000" w:themeColor="text1"/>
        </w:rPr>
        <w:t>(a ~ f)</w:t>
      </w:r>
      <w:r>
        <w:rPr>
          <w:color w:val="000000" w:themeColor="text1"/>
        </w:rPr>
        <w:t xml:space="preserve"> and </w:t>
      </w:r>
      <w:r>
        <w:rPr>
          <w:b/>
          <w:bCs/>
          <w:color w:val="000000" w:themeColor="text1"/>
        </w:rPr>
        <w:t>(g ~ l)</w:t>
      </w:r>
      <w:r>
        <w:rPr>
          <w:color w:val="000000" w:themeColor="text1"/>
        </w:rPr>
        <w:t>, respectively. The box-and-whisker plot in the violin plot cov</w:t>
      </w:r>
      <w:r>
        <w:rPr>
          <w:color w:val="auto"/>
        </w:rPr>
        <w:t xml:space="preserve">ers the 25% ~ 75% measurement range and is labeled median, 25% percentile, and 75% percentile. Data points are arranged in a </w:t>
      </w:r>
      <w:r>
        <w:rPr>
          <w:color w:val="auto"/>
        </w:rPr>
        <w:lastRenderedPageBreak/>
        <w:t xml:space="preserve">swarm fashion to ensure that they do not overlap, and outliers are marked with black-edged circles. Statistical analyses are performed between the non-insomnia and insomnia groups using Mann-Whitney </w:t>
      </w:r>
      <w:r>
        <w:rPr>
          <w:i/>
          <w:iCs/>
          <w:color w:val="auto"/>
        </w:rPr>
        <w:t>U</w:t>
      </w:r>
      <w:r>
        <w:rPr>
          <w:color w:val="auto"/>
        </w:rPr>
        <w:t xml:space="preserve"> tests, and no significant differences are found.</w:t>
      </w:r>
    </w:p>
    <w:p w14:paraId="20FB0DF2" w14:textId="77777777" w:rsidR="001326AF" w:rsidRDefault="001326AF" w:rsidP="001326AF">
      <w:pPr>
        <w:rPr>
          <w:color w:val="auto"/>
          <w:sz w:val="22"/>
        </w:rPr>
      </w:pPr>
      <w:r>
        <w:rPr>
          <w:noProof/>
          <w:color w:val="auto"/>
        </w:rPr>
        <w:drawing>
          <wp:inline distT="0" distB="0" distL="0" distR="0" wp14:anchorId="772C8242" wp14:editId="018E224E">
            <wp:extent cx="5274310" cy="627507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7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2CBF6" w14:textId="77777777" w:rsidR="001326AF" w:rsidRDefault="001326AF" w:rsidP="001326AF">
      <w:pPr>
        <w:rPr>
          <w:color w:val="auto"/>
        </w:rPr>
      </w:pPr>
      <w:r>
        <w:rPr>
          <w:b/>
          <w:bCs/>
          <w:color w:val="auto"/>
        </w:rPr>
        <w:t xml:space="preserve">Supplementary Figure 4. Distribution of the six features used for the ESS prediction model. </w:t>
      </w:r>
      <w:r>
        <w:rPr>
          <w:color w:val="auto"/>
        </w:rPr>
        <w:t xml:space="preserve">The feature distributions of participants with or without sleepiness in the training and testing datasets are visualized in </w:t>
      </w:r>
      <w:r>
        <w:rPr>
          <w:b/>
          <w:bCs/>
          <w:color w:val="auto"/>
        </w:rPr>
        <w:t>(a ~ f)</w:t>
      </w:r>
      <w:r>
        <w:rPr>
          <w:color w:val="auto"/>
        </w:rPr>
        <w:t xml:space="preserve"> and </w:t>
      </w:r>
      <w:r>
        <w:rPr>
          <w:b/>
          <w:bCs/>
          <w:color w:val="auto"/>
        </w:rPr>
        <w:t>(g ~ l)</w:t>
      </w:r>
      <w:r>
        <w:rPr>
          <w:color w:val="auto"/>
        </w:rPr>
        <w:t xml:space="preserve">, respectively. The box-and-whisker plot in the violin plot covers the 25% ~ 75% measurement range and is labeled median, 25% percentile, and 75% percentile. Data points are arranged in a </w:t>
      </w:r>
      <w:r>
        <w:rPr>
          <w:color w:val="auto"/>
        </w:rPr>
        <w:lastRenderedPageBreak/>
        <w:t xml:space="preserve">swarm fashion to ensure that they do not overlap, and outliers are marked with black-edged circles. Age distribution is represented by histograms and Gaussian curves. Statistical analyses are performed between the non-sleepy and sleepy groups using Mann-Whitney </w:t>
      </w:r>
      <w:r>
        <w:rPr>
          <w:i/>
          <w:iCs/>
          <w:color w:val="auto"/>
        </w:rPr>
        <w:t>U</w:t>
      </w:r>
      <w:r>
        <w:rPr>
          <w:color w:val="auto"/>
        </w:rPr>
        <w:t xml:space="preserve"> tests. The asterisk represents a two-tailed </w:t>
      </w:r>
      <w:r>
        <w:rPr>
          <w:i/>
          <w:iCs/>
          <w:color w:val="auto"/>
        </w:rPr>
        <w:t>p</w:t>
      </w:r>
      <w:r>
        <w:rPr>
          <w:color w:val="auto"/>
        </w:rPr>
        <w:t xml:space="preserve"> value, with ** indicating </w:t>
      </w:r>
      <w:r>
        <w:rPr>
          <w:i/>
          <w:iCs/>
          <w:color w:val="auto"/>
        </w:rPr>
        <w:t>p</w:t>
      </w:r>
      <w:r>
        <w:rPr>
          <w:color w:val="auto"/>
        </w:rPr>
        <w:t xml:space="preserve"> &lt; 0.01.</w:t>
      </w:r>
    </w:p>
    <w:p w14:paraId="35678E69" w14:textId="77777777" w:rsidR="001326AF" w:rsidRDefault="001326AF" w:rsidP="001326AF">
      <w:pPr>
        <w:rPr>
          <w:color w:val="auto"/>
        </w:rPr>
      </w:pPr>
    </w:p>
    <w:p w14:paraId="3E7DE4B7" w14:textId="77777777" w:rsidR="00D30773" w:rsidRDefault="00D30773"/>
    <w:sectPr w:rsidR="00D30773" w:rsidSect="001326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D15573"/>
    <w:multiLevelType w:val="multilevel"/>
    <w:tmpl w:val="2AD15573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4915471"/>
    <w:multiLevelType w:val="multilevel"/>
    <w:tmpl w:val="34915471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B3E2B0F"/>
    <w:multiLevelType w:val="multilevel"/>
    <w:tmpl w:val="5B3E2B0F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53583920">
    <w:abstractNumId w:val="1"/>
  </w:num>
  <w:num w:numId="2" w16cid:durableId="1518304284">
    <w:abstractNumId w:val="2"/>
  </w:num>
  <w:num w:numId="3" w16cid:durableId="453716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AF"/>
    <w:rsid w:val="001326AF"/>
    <w:rsid w:val="007805F9"/>
    <w:rsid w:val="00854297"/>
    <w:rsid w:val="00D3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CE8CC"/>
  <w15:chartTrackingRefBased/>
  <w15:docId w15:val="{68859F5B-9040-4DE2-B406-411170565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6AF"/>
    <w:pPr>
      <w:spacing w:after="0" w:line="360" w:lineRule="auto"/>
      <w:jc w:val="both"/>
    </w:pPr>
    <w:rPr>
      <w:rFonts w:ascii="Times New Roman" w:eastAsia="SimSun" w:hAnsi="Times New Roman" w:cs="Times New Roman"/>
      <w:color w:val="C0000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26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26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6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6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26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26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26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26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26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6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26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6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6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26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26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26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26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26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26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2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26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26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26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26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1326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26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26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26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26A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1326A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928</Words>
  <Characters>5292</Characters>
  <Application>Microsoft Office Word</Application>
  <DocSecurity>0</DocSecurity>
  <Lines>44</Lines>
  <Paragraphs>12</Paragraphs>
  <ScaleCrop>false</ScaleCrop>
  <Company>SpringerNature</Company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2024-12-02T11:55:00Z</dcterms:created>
  <dcterms:modified xsi:type="dcterms:W3CDTF">2024-12-02T11:55:00Z</dcterms:modified>
</cp:coreProperties>
</file>