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Tables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Table.1 Fluorescent labeled monoclonal antibodies used for sorting of T cell subsets </w:t>
      </w:r>
    </w:p>
    <w:tbl>
      <w:tblPr>
        <w:tblStyle w:val="3"/>
        <w:tblpPr w:leftFromText="180" w:rightFromText="180" w:vertAnchor="text" w:horzAnchor="page" w:tblpX="1510" w:tblpY="147"/>
        <w:tblOverlap w:val="never"/>
        <w:tblW w:w="6779" w:type="dxa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026"/>
        <w:gridCol w:w="1026"/>
        <w:gridCol w:w="1026"/>
        <w:gridCol w:w="1026"/>
        <w:gridCol w:w="1026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368" w:hRule="exact"/>
        </w:trPr>
        <w:tc>
          <w:tcPr>
            <w:tcW w:w="1649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FITC</w:t>
            </w: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PE</w:t>
            </w: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ECD</w:t>
            </w: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PC5</w:t>
            </w: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2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PC7</w:t>
            </w: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vertAlign w:val="superscript"/>
              </w:rPr>
              <w:t>e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319" w:hRule="exact"/>
        </w:trPr>
        <w:tc>
          <w:tcPr>
            <w:tcW w:w="164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Tube 1</w:t>
            </w:r>
          </w:p>
        </w:tc>
        <w:tc>
          <w:tcPr>
            <w:tcW w:w="102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CD3</w:t>
            </w:r>
          </w:p>
        </w:tc>
        <w:tc>
          <w:tcPr>
            <w:tcW w:w="102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NK</w:t>
            </w:r>
          </w:p>
        </w:tc>
        <w:tc>
          <w:tcPr>
            <w:tcW w:w="102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CD19</w:t>
            </w:r>
          </w:p>
        </w:tc>
        <w:tc>
          <w:tcPr>
            <w:tcW w:w="102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HLA-DR</w:t>
            </w:r>
          </w:p>
        </w:tc>
        <w:tc>
          <w:tcPr>
            <w:tcW w:w="102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CD69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308" w:hRule="exact"/>
        </w:trPr>
        <w:tc>
          <w:tcPr>
            <w:tcW w:w="16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Tube 2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CD45RA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CD45RO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CD4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CD8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CD25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347" w:hRule="exact"/>
        </w:trPr>
        <w:tc>
          <w:tcPr>
            <w:tcW w:w="164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Tube 3</w:t>
            </w:r>
          </w:p>
        </w:tc>
        <w:tc>
          <w:tcPr>
            <w:tcW w:w="102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CD29</w:t>
            </w:r>
          </w:p>
        </w:tc>
        <w:tc>
          <w:tcPr>
            <w:tcW w:w="102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CD28</w:t>
            </w:r>
          </w:p>
        </w:tc>
        <w:tc>
          <w:tcPr>
            <w:tcW w:w="102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CD4</w:t>
            </w:r>
          </w:p>
        </w:tc>
        <w:tc>
          <w:tcPr>
            <w:tcW w:w="102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CD8</w:t>
            </w:r>
          </w:p>
        </w:tc>
        <w:tc>
          <w:tcPr>
            <w:tcW w:w="102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  <w:t>-</w:t>
            </w:r>
          </w:p>
        </w:tc>
      </w:tr>
    </w:tbl>
    <w:p>
      <w:pPr>
        <w:spacing w:line="480" w:lineRule="auto"/>
        <w:rPr>
          <w:rFonts w:hint="default" w:ascii="Times New Roman Regular" w:hAnsi="Times New Roman Regular" w:cs="Times New Roman Regular"/>
          <w:sz w:val="20"/>
          <w:szCs w:val="20"/>
        </w:rPr>
      </w:pPr>
    </w:p>
    <w:p>
      <w:pPr>
        <w:spacing w:line="480" w:lineRule="auto"/>
        <w:rPr>
          <w:rFonts w:hint="default" w:ascii="Times New Roman Regular" w:hAnsi="Times New Roman Regular" w:cs="Times New Roman Regular"/>
          <w:sz w:val="20"/>
          <w:szCs w:val="20"/>
        </w:rPr>
      </w:pPr>
    </w:p>
    <w:p>
      <w:pPr>
        <w:spacing w:line="480" w:lineRule="auto"/>
        <w:rPr>
          <w:rFonts w:hint="default" w:ascii="Times New Roman Regular" w:hAnsi="Times New Roman Regular" w:cs="Times New Roman Regular"/>
          <w:sz w:val="20"/>
          <w:szCs w:val="20"/>
        </w:rPr>
      </w:pPr>
    </w:p>
    <w:p>
      <w:pPr>
        <w:spacing w:line="480" w:lineRule="auto"/>
        <w:rPr>
          <w:rFonts w:hint="default" w:ascii="Times New Roman Regular" w:hAnsi="Times New Roman Regular" w:cs="Times New Roman Regular"/>
          <w:sz w:val="20"/>
          <w:szCs w:val="20"/>
        </w:rPr>
      </w:pP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a：FITC：fluorescein isothiocyanate; b：PE：Phycoerythrin; c：ECD：PE-TexasRed; d：PC5：Phycoerythrin-anthocyanin 5; e：PC7：Phycoerythrin-anthocyanin 7</w:t>
      </w:r>
    </w:p>
    <w:p>
      <w:pPr>
        <w:rPr>
          <w:color w:val="auto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Figures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color w:val="auto"/>
        </w:rPr>
        <w:drawing>
          <wp:inline distT="0" distB="0" distL="114300" distR="114300">
            <wp:extent cx="5519420" cy="4095750"/>
            <wp:effectExtent l="0" t="0" r="1778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942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Figure1.</w:t>
      </w:r>
      <w:r>
        <w:rPr>
          <w:rFonts w:ascii="Times New Roman" w:hAnsi="Times New Roman" w:cs="Times New Roman"/>
          <w:sz w:val="20"/>
          <w:szCs w:val="20"/>
        </w:rPr>
        <w:t xml:space="preserve"> Flow analysis of peripheral blood lymphocyte subsets.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hint="default" w:ascii="Times New Roman Regular" w:hAnsi="Times New Roman Regular" w:eastAsia="Times New Roman Regular" w:cs="Times New Roman Regular"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7960" cy="3950970"/>
            <wp:effectExtent l="0" t="0" r="15240" b="11430"/>
            <wp:docPr id="3" name="Picture 3" descr="Sup 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up Fig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Figure2. </w:t>
      </w:r>
      <w:r>
        <w:rPr>
          <w:rFonts w:ascii="Times New Roman" w:hAnsi="Times New Roman" w:cs="Times New Roman"/>
          <w:sz w:val="20"/>
          <w:szCs w:val="20"/>
        </w:rPr>
        <w:t xml:space="preserve">Cross-sectional analysis of the prognostic value of CD3-CD19+ proprotion. 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Kaplan-Meier (KM) survival curves for patients with CD3-CD19+ proprotion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that were higher than the clinical normal values, within the clinical normal range, and lower than the clinical normal values during the first to the twelfth （A-L) chemotherapy cycles.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 Regular" w:hAnsi="Times New Roman Regular" w:eastAsia="宋体" w:cs="Times New Roman Regular"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3953510"/>
            <wp:effectExtent l="0" t="0" r="10160" b="8890"/>
            <wp:docPr id="4" name="Picture 4" descr="Sup 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up Fig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Figure3. </w:t>
      </w:r>
      <w:r>
        <w:rPr>
          <w:rFonts w:ascii="Times New Roman" w:hAnsi="Times New Roman" w:cs="Times New Roman"/>
          <w:sz w:val="20"/>
          <w:szCs w:val="20"/>
        </w:rPr>
        <w:t xml:space="preserve">Cross-sectional analysis of the prognostic value of CD4+CD29+ proprotion. 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Kaplan-Meier (KM) survival curves for patients with CD4+CD29+ proprotion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that were higher than the clinical normal values, within the clinical normal range, and lower than the clinical normal values during the first to the twelfth （A-L) chemotherapy cycles.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 Regular" w:hAnsi="Times New Roman Regular" w:eastAsia="宋体" w:cs="Times New Roman Regular"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4310" cy="3949065"/>
            <wp:effectExtent l="0" t="0" r="8890" b="13335"/>
            <wp:docPr id="5" name="Picture 5" descr="Sup 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up Fig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Figure4. </w:t>
      </w:r>
      <w:r>
        <w:rPr>
          <w:rFonts w:ascii="Times New Roman" w:hAnsi="Times New Roman" w:cs="Times New Roman"/>
          <w:sz w:val="20"/>
          <w:szCs w:val="20"/>
        </w:rPr>
        <w:t xml:space="preserve">Cross-sectional analysis of the prognostic value of CD4+CD45RO+/CD4+ ratio. </w:t>
      </w: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Kaplan-Meier (KM) survival curves for patients with CD4+CD45RO+/CD4+ ratios that were higher than the clinical normal values, within the clinical normal range, and lower than the clinical normal values during the first to the twelfth （A-L) chemotherapy cycles.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_Data_CSV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.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Testing dara for the online application of prognosis model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/>
          <w:color w:val="auto"/>
          <w:lang w:val="en-US"/>
        </w:rPr>
        <w:t>Annotation:</w:t>
      </w:r>
    </w:p>
    <w:tbl>
      <w:tblPr>
        <w:tblStyle w:val="3"/>
        <w:tblW w:w="49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47"/>
        <w:gridCol w:w="555"/>
        <w:gridCol w:w="740"/>
        <w:gridCol w:w="567"/>
        <w:gridCol w:w="688"/>
        <w:gridCol w:w="1593"/>
        <w:gridCol w:w="1795"/>
        <w:gridCol w:w="1010"/>
        <w:gridCol w:w="13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time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CRP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IL6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CEA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CA199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CD4CD45RACD4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CD4CD45ROCD4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CD3CD19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CD4CD29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Unit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months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ng/L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pg/ml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ng/ml</w:t>
            </w:r>
          </w:p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U/ml</w:t>
            </w:r>
          </w:p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%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%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 xml:space="preserve">Full </w:t>
            </w:r>
          </w:p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name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/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/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  <w:t>/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CD4+CD45RA+/CD4+</w:t>
            </w:r>
          </w:p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CD4+CD45RO+/CD4+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CD3-CD19+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 Regular" w:hAnsi="Times New Roman Regular" w:cs="Times New Roman Regular" w:eastAsiaTheme="minorHAnsi"/>
                <w:color w:val="auto"/>
                <w:sz w:val="20"/>
                <w:szCs w:val="20"/>
                <w:lang w:val="en-US" w:eastAsia="zh-CN"/>
              </w:rPr>
              <w:t>CD4+CD29+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/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l Nile Regular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merican Typewriter Regular">
    <w:panose1 w:val="02090604020004020304"/>
    <w:charset w:val="00"/>
    <w:family w:val="auto"/>
    <w:pitch w:val="default"/>
    <w:sig w:usb0="A000006F" w:usb1="00000019" w:usb2="00000000" w:usb3="00000000" w:csb0="2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DD396"/>
    <w:rsid w:val="1FDDD396"/>
    <w:rsid w:val="3E7FB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2024-11-03T19:46:00Z</dcterms:created>
  <dc:creator>王凡</dc:creator>
  <cp:lastModifiedBy>王凡</cp:lastModifiedBy>
  <dcterms:modified xsi:type="dcterms:W3CDTF">2024-11-03T19:52:43Z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1033-6.5.2.8766</vt:lpwstr>
  </property>
  <property fmtid="{D5CDD505-2E9C-101B-9397-08002B2CF9AE}" pid="3" name="ICV">
    <vt:lpwstr>433AB1FC7CF74F78AE622767C8590E1C_41</vt:lpwstr>
  </property>
</Properties>
</file>