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3BD" w:rsidRDefault="003E01C4">
      <w:pPr>
        <w:pStyle w:val="KonuBal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ED33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Table 1.</w:t>
      </w:r>
      <w:proofErr w:type="gramEnd"/>
      <w:r w:rsidRPr="00ED33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ED33BD" w:rsidRDefault="00ED33BD">
      <w:pPr>
        <w:pStyle w:val="KonuBal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D5392" w:rsidRPr="00ED33BD" w:rsidRDefault="003E01C4">
      <w:pPr>
        <w:pStyle w:val="KonuBal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D33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Representation of Study Participants - Metastatic RCC</w:t>
      </w:r>
    </w:p>
    <w:tbl>
      <w:tblPr>
        <w:tblW w:w="0" w:type="auto"/>
        <w:tblLook w:val="04A0"/>
      </w:tblPr>
      <w:tblGrid>
        <w:gridCol w:w="4320"/>
        <w:gridCol w:w="4320"/>
      </w:tblGrid>
      <w:tr w:rsidR="002D5392" w:rsidRPr="00ED33BD"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ED33B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Attributes</w:t>
            </w:r>
          </w:p>
        </w:tc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ED33B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Values</w:t>
            </w:r>
          </w:p>
        </w:tc>
      </w:tr>
      <w:tr w:rsidR="002D5392" w:rsidRPr="00ED33BD"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Total Number of Participants</w:t>
            </w:r>
          </w:p>
        </w:tc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</w:tr>
      <w:tr w:rsidR="002D5392" w:rsidRPr="00ED33BD"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Mean Age (Years)</w:t>
            </w:r>
          </w:p>
        </w:tc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58.32 ± 11.95 (19-87)</w:t>
            </w:r>
          </w:p>
        </w:tc>
      </w:tr>
      <w:tr w:rsidR="002D5392" w:rsidRPr="00ED33BD"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Pathology Type (Clear Cell)</w:t>
            </w:r>
          </w:p>
        </w:tc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%75.8</w:t>
            </w:r>
          </w:p>
        </w:tc>
      </w:tr>
      <w:tr w:rsidR="002D5392" w:rsidRPr="00ED33BD"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Pathology Type (Papillary)</w:t>
            </w:r>
          </w:p>
        </w:tc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%8.1</w:t>
            </w:r>
          </w:p>
        </w:tc>
      </w:tr>
      <w:tr w:rsidR="002D5392" w:rsidRPr="00ED33BD"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Pathology Type (Chromophobe)</w:t>
            </w:r>
          </w:p>
        </w:tc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%1</w:t>
            </w:r>
          </w:p>
        </w:tc>
      </w:tr>
      <w:tr w:rsidR="002D5392" w:rsidRPr="00ED33BD"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Pathology Type (Sarcomatoid)</w:t>
            </w:r>
          </w:p>
        </w:tc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%2</w:t>
            </w:r>
          </w:p>
        </w:tc>
      </w:tr>
      <w:tr w:rsidR="002D5392" w:rsidRPr="00ED33BD"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Pathology Type (Other)</w:t>
            </w:r>
          </w:p>
        </w:tc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%13.1</w:t>
            </w:r>
          </w:p>
        </w:tc>
      </w:tr>
      <w:tr w:rsidR="002D5392" w:rsidRPr="00ED33BD"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Metastasis Location (Lung)</w:t>
            </w:r>
          </w:p>
        </w:tc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%17.2</w:t>
            </w:r>
          </w:p>
        </w:tc>
      </w:tr>
      <w:tr w:rsidR="002D5392" w:rsidRPr="00ED33BD"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Metastasis Location (Bone)</w:t>
            </w:r>
          </w:p>
        </w:tc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%17.2</w:t>
            </w:r>
          </w:p>
        </w:tc>
      </w:tr>
      <w:tr w:rsidR="002D5392" w:rsidRPr="00ED33BD"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Metastasis Location (Lymph Node)</w:t>
            </w:r>
          </w:p>
        </w:tc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%2</w:t>
            </w:r>
          </w:p>
        </w:tc>
      </w:tr>
      <w:tr w:rsidR="002D5392" w:rsidRPr="00ED33BD"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Metastasis Location (Liver)</w:t>
            </w:r>
          </w:p>
        </w:tc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%1</w:t>
            </w:r>
          </w:p>
        </w:tc>
      </w:tr>
      <w:tr w:rsidR="002D5392" w:rsidRPr="00ED33BD"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Metastasis Location (Brain)</w:t>
            </w:r>
          </w:p>
        </w:tc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%4</w:t>
            </w:r>
          </w:p>
        </w:tc>
      </w:tr>
      <w:tr w:rsidR="002D5392" w:rsidRPr="00ED33BD"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Metastasis Location (Multiple)</w:t>
            </w:r>
          </w:p>
        </w:tc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%58.6</w:t>
            </w:r>
          </w:p>
        </w:tc>
      </w:tr>
      <w:tr w:rsidR="002D5392" w:rsidRPr="00ED33BD"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WBC (White Blood Cells)</w:t>
            </w:r>
          </w:p>
        </w:tc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6.63 ± 2.96 (1.03-14.60)</w:t>
            </w:r>
          </w:p>
        </w:tc>
      </w:tr>
      <w:tr w:rsidR="002D5392" w:rsidRPr="00ED33BD"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RBC (Red Blood Cells)</w:t>
            </w:r>
          </w:p>
        </w:tc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3.92 ± 0.68 (2.75-5.81)</w:t>
            </w:r>
          </w:p>
        </w:tc>
      </w:tr>
      <w:tr w:rsidR="002D5392" w:rsidRPr="00ED33BD"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HGB (Hemoglobin)</w:t>
            </w:r>
          </w:p>
        </w:tc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11.28 ± 2.02 (3.90-16.90)</w:t>
            </w:r>
          </w:p>
        </w:tc>
      </w:tr>
      <w:tr w:rsidR="002D5392" w:rsidRPr="00ED33BD"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HCT (Hematocrit)</w:t>
            </w:r>
          </w:p>
        </w:tc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35.39 ± 5.23 (25.20-48.90)</w:t>
            </w:r>
          </w:p>
        </w:tc>
      </w:tr>
      <w:tr w:rsidR="002D5392" w:rsidRPr="00ED33BD"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MCV (Mean Corpuscular Volume)</w:t>
            </w:r>
          </w:p>
        </w:tc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90.86 ± 9.14 (69.50-111.50)</w:t>
            </w:r>
          </w:p>
        </w:tc>
      </w:tr>
      <w:tr w:rsidR="002D5392" w:rsidRPr="00ED33BD"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PLT (Platelet)</w:t>
            </w:r>
          </w:p>
        </w:tc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275.50 ± 111.12 (104-565)</w:t>
            </w:r>
          </w:p>
        </w:tc>
      </w:tr>
      <w:tr w:rsidR="002D5392" w:rsidRPr="00ED33BD"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Neutrophil</w:t>
            </w:r>
          </w:p>
        </w:tc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4.65 ± 2.53 (0.90-13.18)</w:t>
            </w:r>
          </w:p>
        </w:tc>
      </w:tr>
      <w:tr w:rsidR="002D5392" w:rsidRPr="00ED33BD"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Lymphocyte</w:t>
            </w:r>
          </w:p>
        </w:tc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1.65 ± 0.84 (0.39-4.40)</w:t>
            </w:r>
          </w:p>
        </w:tc>
      </w:tr>
      <w:tr w:rsidR="002D5392" w:rsidRPr="00ED33BD"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RDW (Red Cell Distribution Width)</w:t>
            </w:r>
          </w:p>
        </w:tc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55.64 ± 21.36 (15.20-89.20)</w:t>
            </w:r>
          </w:p>
        </w:tc>
      </w:tr>
      <w:tr w:rsidR="002D5392" w:rsidRPr="00ED33BD"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ICC (Cumulative Inflammatory Index)</w:t>
            </w:r>
          </w:p>
        </w:tc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17.34 ± 15.49 (1.20-94.90)</w:t>
            </w:r>
          </w:p>
        </w:tc>
      </w:tr>
      <w:tr w:rsidR="002D5392" w:rsidRPr="00ED33BD"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MCVL (Mean Corpuscular Volume / Lymphocyte Ratio)</w:t>
            </w:r>
          </w:p>
        </w:tc>
        <w:tc>
          <w:tcPr>
            <w:tcW w:w="4320" w:type="dxa"/>
          </w:tcPr>
          <w:p w:rsidR="002D5392" w:rsidRPr="00ED33BD" w:rsidRDefault="003E0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33BD">
              <w:rPr>
                <w:rFonts w:ascii="Times New Roman" w:hAnsi="Times New Roman" w:cs="Times New Roman"/>
                <w:sz w:val="18"/>
                <w:szCs w:val="18"/>
              </w:rPr>
              <w:t>69.26 ± 36.77 (20.88-226.92)</w:t>
            </w:r>
          </w:p>
        </w:tc>
      </w:tr>
    </w:tbl>
    <w:p w:rsidR="003E01C4" w:rsidRPr="00ED33BD" w:rsidRDefault="003E01C4">
      <w:pPr>
        <w:rPr>
          <w:rFonts w:ascii="Times New Roman" w:hAnsi="Times New Roman" w:cs="Times New Roman"/>
          <w:sz w:val="18"/>
          <w:szCs w:val="18"/>
        </w:rPr>
      </w:pPr>
    </w:p>
    <w:sectPr w:rsidR="003E01C4" w:rsidRPr="00ED33B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2D5392"/>
    <w:rsid w:val="00326F90"/>
    <w:rsid w:val="003E01C4"/>
    <w:rsid w:val="00502A46"/>
    <w:rsid w:val="009233BA"/>
    <w:rsid w:val="00AA1D8D"/>
    <w:rsid w:val="00B47730"/>
    <w:rsid w:val="00CB0664"/>
    <w:rsid w:val="00ED33BD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Trnak">
    <w:name w:val="Quote"/>
    <w:basedOn w:val="Normal"/>
    <w:next w:val="Normal"/>
    <w:link w:val="TrnakChar"/>
    <w:uiPriority w:val="29"/>
    <w:qFormat/>
    <w:rsid w:val="00FC693F"/>
    <w:rPr>
      <w:i/>
      <w:iCs/>
      <w:color w:val="000000" w:themeColor="text1"/>
    </w:rPr>
  </w:style>
  <w:style w:type="character" w:customStyle="1" w:styleId="TrnakChar">
    <w:name w:val="Tırnak Char"/>
    <w:basedOn w:val="VarsaylanParagrafYazTipi"/>
    <w:link w:val="Trnak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48FC14-1C7E-4593-BB28-B8C8E925D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mypc</cp:lastModifiedBy>
  <cp:revision>2</cp:revision>
  <dcterms:created xsi:type="dcterms:W3CDTF">2024-09-19T21:58:00Z</dcterms:created>
  <dcterms:modified xsi:type="dcterms:W3CDTF">2024-09-19T21:58:00Z</dcterms:modified>
</cp:coreProperties>
</file>