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227E03" w14:textId="77777777" w:rsidR="007F2E29" w:rsidRDefault="007F2E29" w:rsidP="00A17BEE">
      <w:pPr>
        <w:pStyle w:val="Title"/>
        <w:ind w:firstLine="0"/>
        <w:jc w:val="center"/>
        <w:rPr>
          <w:rFonts w:ascii="Arial" w:hAnsi="Arial" w:cs="Arial"/>
          <w:b/>
          <w:bCs/>
          <w:sz w:val="72"/>
          <w:szCs w:val="72"/>
          <w:lang w:eastAsia="en-US"/>
        </w:rPr>
      </w:pPr>
      <w:r w:rsidRPr="00F306C5">
        <w:rPr>
          <w:rFonts w:ascii="Arial" w:hAnsi="Arial" w:cs="Arial"/>
          <w:b/>
          <w:bCs/>
          <w:sz w:val="72"/>
          <w:szCs w:val="72"/>
          <w:lang w:eastAsia="en-US"/>
        </w:rPr>
        <w:t>Supporting Information</w:t>
      </w:r>
    </w:p>
    <w:p w14:paraId="68D3D856" w14:textId="77777777" w:rsidR="00F306C5" w:rsidRPr="00F306C5" w:rsidRDefault="00F306C5" w:rsidP="00A17BEE">
      <w:pPr>
        <w:spacing w:line="240" w:lineRule="auto"/>
        <w:ind w:firstLine="0"/>
        <w:rPr>
          <w:lang w:eastAsia="en-US"/>
        </w:rPr>
      </w:pPr>
    </w:p>
    <w:p w14:paraId="159B505D" w14:textId="77777777" w:rsidR="00F306C5" w:rsidRPr="00F306C5" w:rsidRDefault="00F306C5" w:rsidP="00A17BEE">
      <w:pPr>
        <w:pStyle w:val="Title"/>
        <w:ind w:firstLine="0"/>
        <w:rPr>
          <w:rFonts w:ascii="Arial" w:eastAsia="Calibri" w:hAnsi="Arial" w:cs="Arial"/>
          <w:sz w:val="40"/>
          <w:szCs w:val="40"/>
          <w:lang w:eastAsia="en-US"/>
        </w:rPr>
      </w:pPr>
      <w:r w:rsidRPr="00F306C5">
        <w:rPr>
          <w:rFonts w:ascii="Arial" w:eastAsia="Calibri" w:hAnsi="Arial" w:cs="Arial"/>
          <w:sz w:val="40"/>
          <w:szCs w:val="40"/>
          <w:lang w:eastAsia="en-US"/>
        </w:rPr>
        <w:t>Optical assessment of lignin-containing nanocellulose films under extended sunlight exposure</w:t>
      </w:r>
    </w:p>
    <w:p w14:paraId="1525870A" w14:textId="77777777" w:rsidR="00F306C5" w:rsidRPr="00F306C5" w:rsidRDefault="00F306C5" w:rsidP="00A17BEE">
      <w:pPr>
        <w:spacing w:line="240" w:lineRule="auto"/>
        <w:ind w:firstLine="0"/>
        <w:rPr>
          <w:rFonts w:ascii="Arial" w:eastAsia="Calibri" w:hAnsi="Arial" w:cs="Arial"/>
          <w:lang w:eastAsia="en-US"/>
        </w:rPr>
      </w:pPr>
    </w:p>
    <w:p w14:paraId="076A5125" w14:textId="77777777" w:rsidR="00F74703" w:rsidRPr="00FB4C7C" w:rsidRDefault="00F74703" w:rsidP="00A17BEE">
      <w:pPr>
        <w:pStyle w:val="affiliation"/>
        <w:spacing w:after="240"/>
        <w:ind w:firstLine="0"/>
        <w:rPr>
          <w:rFonts w:ascii="Arial" w:eastAsia="Calibri" w:hAnsi="Arial" w:cs="Arial"/>
          <w:i w:val="0"/>
          <w:iCs/>
          <w:sz w:val="28"/>
          <w:szCs w:val="28"/>
          <w:lang w:eastAsia="en-US"/>
        </w:rPr>
      </w:pPr>
      <w:r w:rsidRPr="00FB4C7C">
        <w:rPr>
          <w:rFonts w:ascii="Arial" w:eastAsia="Calibri" w:hAnsi="Arial" w:cs="Arial"/>
          <w:i w:val="0"/>
          <w:iCs/>
          <w:sz w:val="28"/>
          <w:szCs w:val="28"/>
          <w:lang w:eastAsia="en-US"/>
        </w:rPr>
        <w:t>Rustem Nizamov</w:t>
      </w:r>
      <w:r w:rsidRPr="00FB4C7C">
        <w:rPr>
          <w:rFonts w:ascii="Arial" w:eastAsia="Calibri" w:hAnsi="Arial" w:cs="Arial"/>
          <w:i w:val="0"/>
          <w:iCs/>
          <w:sz w:val="28"/>
          <w:szCs w:val="28"/>
          <w:vertAlign w:val="superscript"/>
          <w:lang w:eastAsia="en-US"/>
        </w:rPr>
        <w:t>1#</w:t>
      </w:r>
      <w:r w:rsidRPr="00FB4C7C">
        <w:rPr>
          <w:rFonts w:ascii="Arial" w:eastAsia="Calibri" w:hAnsi="Arial" w:cs="Arial"/>
          <w:i w:val="0"/>
          <w:iCs/>
          <w:sz w:val="28"/>
          <w:szCs w:val="28"/>
          <w:lang w:eastAsia="en-US"/>
        </w:rPr>
        <w:t>, Joice Kaschuk</w:t>
      </w:r>
      <w:r w:rsidRPr="00FB4C7C">
        <w:rPr>
          <w:rFonts w:ascii="Arial" w:eastAsia="Calibri" w:hAnsi="Arial" w:cs="Arial"/>
          <w:i w:val="0"/>
          <w:iCs/>
          <w:sz w:val="28"/>
          <w:szCs w:val="28"/>
          <w:vertAlign w:val="superscript"/>
          <w:lang w:eastAsia="en-US"/>
        </w:rPr>
        <w:t>2,3,4#*</w:t>
      </w:r>
      <w:r w:rsidRPr="00FB4C7C">
        <w:rPr>
          <w:rFonts w:ascii="Arial" w:eastAsia="Calibri" w:hAnsi="Arial" w:cs="Arial"/>
          <w:i w:val="0"/>
          <w:iCs/>
          <w:sz w:val="28"/>
          <w:szCs w:val="28"/>
          <w:lang w:eastAsia="en-US"/>
        </w:rPr>
        <w:t>, Yazan Al Haj</w:t>
      </w:r>
      <w:r w:rsidRPr="00FB4C7C">
        <w:rPr>
          <w:rFonts w:ascii="Arial" w:eastAsia="Calibri" w:hAnsi="Arial" w:cs="Arial"/>
          <w:i w:val="0"/>
          <w:iCs/>
          <w:sz w:val="28"/>
          <w:szCs w:val="28"/>
          <w:vertAlign w:val="superscript"/>
          <w:lang w:eastAsia="en-US"/>
        </w:rPr>
        <w:t>5</w:t>
      </w:r>
      <w:r w:rsidRPr="00FB4C7C">
        <w:rPr>
          <w:rFonts w:ascii="Arial" w:eastAsia="Calibri" w:hAnsi="Arial" w:cs="Arial"/>
          <w:i w:val="0"/>
          <w:iCs/>
          <w:sz w:val="28"/>
          <w:szCs w:val="28"/>
          <w:lang w:eastAsia="en-US"/>
        </w:rPr>
        <w:t>, Mikael Nyberg</w:t>
      </w:r>
      <w:r w:rsidRPr="00FB4C7C">
        <w:rPr>
          <w:rFonts w:ascii="Arial" w:eastAsia="Calibri" w:hAnsi="Arial" w:cs="Arial"/>
          <w:i w:val="0"/>
          <w:iCs/>
          <w:sz w:val="28"/>
          <w:szCs w:val="28"/>
          <w:vertAlign w:val="superscript"/>
          <w:lang w:eastAsia="en-US"/>
        </w:rPr>
        <w:t>1</w:t>
      </w:r>
      <w:r w:rsidRPr="00FB4C7C">
        <w:rPr>
          <w:rFonts w:ascii="Arial" w:eastAsia="Calibri" w:hAnsi="Arial" w:cs="Arial"/>
          <w:i w:val="0"/>
          <w:iCs/>
          <w:sz w:val="28"/>
          <w:szCs w:val="28"/>
          <w:lang w:eastAsia="en-US"/>
        </w:rPr>
        <w:t xml:space="preserve">, </w:t>
      </w:r>
      <w:proofErr w:type="spellStart"/>
      <w:r w:rsidRPr="00FB4C7C">
        <w:rPr>
          <w:rFonts w:ascii="Arial" w:eastAsia="Calibri" w:hAnsi="Arial" w:cs="Arial"/>
          <w:i w:val="0"/>
          <w:iCs/>
          <w:sz w:val="28"/>
          <w:szCs w:val="28"/>
          <w:lang w:eastAsia="en-US"/>
        </w:rPr>
        <w:t>Monireh</w:t>
      </w:r>
      <w:proofErr w:type="spellEnd"/>
      <w:r w:rsidRPr="00FB4C7C">
        <w:rPr>
          <w:rFonts w:ascii="Arial" w:eastAsia="Calibri" w:hAnsi="Arial" w:cs="Arial"/>
          <w:i w:val="0"/>
          <w:iCs/>
          <w:sz w:val="28"/>
          <w:szCs w:val="28"/>
          <w:lang w:eastAsia="en-US"/>
        </w:rPr>
        <w:t xml:space="preserve"> Imani</w:t>
      </w:r>
      <w:r>
        <w:rPr>
          <w:rFonts w:ascii="Arial" w:eastAsia="Calibri" w:hAnsi="Arial" w:cs="Arial"/>
          <w:i w:val="0"/>
          <w:iCs/>
          <w:sz w:val="28"/>
          <w:szCs w:val="28"/>
          <w:vertAlign w:val="superscript"/>
          <w:lang w:eastAsia="en-US"/>
        </w:rPr>
        <w:t>3,</w:t>
      </w:r>
      <w:r w:rsidRPr="00FB4C7C">
        <w:rPr>
          <w:rFonts w:ascii="Arial" w:eastAsia="Calibri" w:hAnsi="Arial" w:cs="Arial"/>
          <w:i w:val="0"/>
          <w:iCs/>
          <w:sz w:val="28"/>
          <w:szCs w:val="28"/>
          <w:vertAlign w:val="superscript"/>
          <w:lang w:eastAsia="en-US"/>
        </w:rPr>
        <w:t>6</w:t>
      </w:r>
      <w:r w:rsidRPr="00FB4C7C">
        <w:rPr>
          <w:rFonts w:ascii="Arial" w:eastAsia="Calibri" w:hAnsi="Arial" w:cs="Arial"/>
          <w:i w:val="0"/>
          <w:iCs/>
          <w:sz w:val="28"/>
          <w:szCs w:val="28"/>
          <w:lang w:eastAsia="en-US"/>
        </w:rPr>
        <w:t>, Eva Pasquier</w:t>
      </w:r>
      <w:r>
        <w:rPr>
          <w:rFonts w:ascii="Arial" w:eastAsia="Calibri" w:hAnsi="Arial" w:cs="Arial"/>
          <w:i w:val="0"/>
          <w:iCs/>
          <w:sz w:val="28"/>
          <w:szCs w:val="28"/>
          <w:vertAlign w:val="superscript"/>
          <w:lang w:eastAsia="en-US"/>
        </w:rPr>
        <w:t>3</w:t>
      </w:r>
      <w:r w:rsidRPr="00FB4C7C">
        <w:rPr>
          <w:rFonts w:ascii="Arial" w:eastAsia="Calibri" w:hAnsi="Arial" w:cs="Arial"/>
          <w:i w:val="0"/>
          <w:iCs/>
          <w:sz w:val="28"/>
          <w:szCs w:val="28"/>
          <w:lang w:eastAsia="en-US"/>
        </w:rPr>
        <w:t>, Orlando Rojas</w:t>
      </w:r>
      <w:r>
        <w:rPr>
          <w:rFonts w:ascii="Arial" w:eastAsia="Calibri" w:hAnsi="Arial" w:cs="Arial"/>
          <w:i w:val="0"/>
          <w:iCs/>
          <w:sz w:val="28"/>
          <w:szCs w:val="28"/>
          <w:vertAlign w:val="superscript"/>
          <w:lang w:eastAsia="en-US"/>
        </w:rPr>
        <w:t>3</w:t>
      </w:r>
      <w:r w:rsidRPr="00FB4C7C">
        <w:rPr>
          <w:rFonts w:ascii="Arial" w:eastAsia="Calibri" w:hAnsi="Arial" w:cs="Arial"/>
          <w:i w:val="0"/>
          <w:iCs/>
          <w:sz w:val="28"/>
          <w:szCs w:val="28"/>
          <w:vertAlign w:val="superscript"/>
          <w:lang w:eastAsia="en-US"/>
        </w:rPr>
        <w:t>,</w:t>
      </w:r>
      <w:r>
        <w:rPr>
          <w:rFonts w:ascii="Arial" w:eastAsia="Calibri" w:hAnsi="Arial" w:cs="Arial"/>
          <w:i w:val="0"/>
          <w:iCs/>
          <w:sz w:val="28"/>
          <w:szCs w:val="28"/>
          <w:vertAlign w:val="superscript"/>
          <w:lang w:eastAsia="en-US"/>
        </w:rPr>
        <w:t>4</w:t>
      </w:r>
      <w:r w:rsidRPr="00FB4C7C">
        <w:rPr>
          <w:rFonts w:ascii="Arial" w:eastAsia="Calibri" w:hAnsi="Arial" w:cs="Arial"/>
          <w:i w:val="0"/>
          <w:iCs/>
          <w:sz w:val="28"/>
          <w:szCs w:val="28"/>
          <w:lang w:eastAsia="en-US"/>
        </w:rPr>
        <w:t>, Tiffany Abitbol</w:t>
      </w:r>
      <w:r w:rsidRPr="00FB4C7C">
        <w:rPr>
          <w:rFonts w:ascii="Arial" w:eastAsia="Calibri" w:hAnsi="Arial" w:cs="Arial"/>
          <w:i w:val="0"/>
          <w:iCs/>
          <w:sz w:val="28"/>
          <w:szCs w:val="28"/>
          <w:vertAlign w:val="superscript"/>
          <w:lang w:eastAsia="en-US"/>
        </w:rPr>
        <w:t>7</w:t>
      </w:r>
      <w:r w:rsidRPr="00FB4C7C">
        <w:rPr>
          <w:rFonts w:ascii="Arial" w:eastAsia="Calibri" w:hAnsi="Arial" w:cs="Arial"/>
          <w:i w:val="0"/>
          <w:iCs/>
          <w:sz w:val="28"/>
          <w:szCs w:val="28"/>
          <w:lang w:eastAsia="en-US"/>
        </w:rPr>
        <w:t>, Jaana Vapaavuori</w:t>
      </w:r>
      <w:r w:rsidRPr="00FB4C7C">
        <w:rPr>
          <w:rFonts w:ascii="Arial" w:eastAsia="Calibri" w:hAnsi="Arial" w:cs="Arial"/>
          <w:i w:val="0"/>
          <w:iCs/>
          <w:sz w:val="28"/>
          <w:szCs w:val="28"/>
          <w:vertAlign w:val="superscript"/>
          <w:lang w:eastAsia="en-US"/>
        </w:rPr>
        <w:t>5</w:t>
      </w:r>
      <w:r w:rsidRPr="00FB4C7C">
        <w:rPr>
          <w:rFonts w:ascii="Arial" w:eastAsia="Calibri" w:hAnsi="Arial" w:cs="Arial"/>
          <w:i w:val="0"/>
          <w:iCs/>
          <w:sz w:val="28"/>
          <w:szCs w:val="28"/>
          <w:lang w:eastAsia="en-US"/>
        </w:rPr>
        <w:t>, Kati Miettunen</w:t>
      </w:r>
      <w:r w:rsidRPr="00FB4C7C">
        <w:rPr>
          <w:rFonts w:ascii="Arial" w:eastAsia="Calibri" w:hAnsi="Arial" w:cs="Arial"/>
          <w:i w:val="0"/>
          <w:iCs/>
          <w:sz w:val="28"/>
          <w:szCs w:val="28"/>
          <w:vertAlign w:val="superscript"/>
          <w:lang w:eastAsia="en-US"/>
        </w:rPr>
        <w:t>1</w:t>
      </w:r>
    </w:p>
    <w:p w14:paraId="14B7A208" w14:textId="77777777" w:rsidR="00F74703" w:rsidRDefault="00F74703" w:rsidP="00A17BEE">
      <w:pPr>
        <w:pStyle w:val="affiliation"/>
        <w:ind w:firstLine="0"/>
        <w:rPr>
          <w:rFonts w:ascii="Arial" w:eastAsia="Calibri" w:hAnsi="Arial" w:cs="Arial"/>
          <w:i w:val="0"/>
          <w:iCs/>
          <w:sz w:val="20"/>
          <w:lang w:eastAsia="en-US"/>
        </w:rPr>
      </w:pPr>
      <w:r w:rsidRPr="00FB4C7C">
        <w:rPr>
          <w:rFonts w:ascii="Arial" w:eastAsia="Calibri" w:hAnsi="Arial" w:cs="Arial"/>
          <w:i w:val="0"/>
          <w:iCs/>
          <w:sz w:val="20"/>
          <w:lang w:eastAsia="en-US"/>
        </w:rPr>
        <w:t>1. Department of Mechanical and Materials Engineering, Faculty of Technology, University of Turku, Turku, FI-20500 Finland</w:t>
      </w:r>
    </w:p>
    <w:p w14:paraId="63CFB91D" w14:textId="77777777" w:rsidR="00F74703" w:rsidRPr="00FB4C7C" w:rsidRDefault="00F74703" w:rsidP="00A17BEE">
      <w:pPr>
        <w:pStyle w:val="affiliation"/>
        <w:ind w:firstLine="0"/>
        <w:rPr>
          <w:rFonts w:ascii="Arial" w:eastAsia="Calibri" w:hAnsi="Arial" w:cs="Arial"/>
          <w:i w:val="0"/>
          <w:iCs/>
          <w:sz w:val="20"/>
          <w:lang w:eastAsia="en-US"/>
        </w:rPr>
      </w:pPr>
      <w:r>
        <w:rPr>
          <w:rFonts w:ascii="Arial" w:eastAsia="Calibri" w:hAnsi="Arial" w:cs="Arial"/>
          <w:i w:val="0"/>
          <w:iCs/>
          <w:sz w:val="20"/>
          <w:lang w:eastAsia="en-US"/>
        </w:rPr>
        <w:t>2</w:t>
      </w:r>
      <w:r w:rsidRPr="00FB4C7C">
        <w:rPr>
          <w:rFonts w:ascii="Arial" w:eastAsia="Calibri" w:hAnsi="Arial" w:cs="Arial"/>
          <w:i w:val="0"/>
          <w:iCs/>
          <w:sz w:val="20"/>
          <w:lang w:eastAsia="en-US"/>
        </w:rPr>
        <w:t>. Physical Chemistry and Soft Matter, Wageningen University and Research, 6708 WE, Wageningen, The Netherlands.</w:t>
      </w:r>
    </w:p>
    <w:p w14:paraId="32FD6DD2" w14:textId="77777777" w:rsidR="00F74703" w:rsidRPr="00FB4C7C" w:rsidRDefault="00F74703" w:rsidP="00A17BEE">
      <w:pPr>
        <w:pStyle w:val="affiliation"/>
        <w:ind w:firstLine="0"/>
        <w:rPr>
          <w:rFonts w:ascii="Arial" w:eastAsia="Calibri" w:hAnsi="Arial" w:cs="Arial"/>
          <w:i w:val="0"/>
          <w:iCs/>
          <w:sz w:val="20"/>
          <w:lang w:eastAsia="en-US"/>
        </w:rPr>
      </w:pPr>
      <w:r>
        <w:rPr>
          <w:rFonts w:ascii="Arial" w:eastAsia="Calibri" w:hAnsi="Arial" w:cs="Arial"/>
          <w:i w:val="0"/>
          <w:iCs/>
          <w:sz w:val="20"/>
          <w:lang w:eastAsia="en-US"/>
        </w:rPr>
        <w:t>3</w:t>
      </w:r>
      <w:r w:rsidRPr="00FB4C7C">
        <w:rPr>
          <w:rFonts w:ascii="Arial" w:eastAsia="Calibri" w:hAnsi="Arial" w:cs="Arial"/>
          <w:i w:val="0"/>
          <w:iCs/>
          <w:sz w:val="20"/>
          <w:lang w:eastAsia="en-US"/>
        </w:rPr>
        <w:t xml:space="preserve">. Department of Bioproducts and Biosystems, School of Chemical Engineering, Aalto University, </w:t>
      </w:r>
      <w:proofErr w:type="spellStart"/>
      <w:r w:rsidRPr="00FB4C7C">
        <w:rPr>
          <w:rFonts w:ascii="Arial" w:eastAsia="Calibri" w:hAnsi="Arial" w:cs="Arial"/>
          <w:i w:val="0"/>
          <w:iCs/>
          <w:sz w:val="20"/>
          <w:lang w:eastAsia="en-US"/>
        </w:rPr>
        <w:t>Vuorimiehentie</w:t>
      </w:r>
      <w:proofErr w:type="spellEnd"/>
      <w:r w:rsidRPr="00FB4C7C">
        <w:rPr>
          <w:rFonts w:ascii="Arial" w:eastAsia="Calibri" w:hAnsi="Arial" w:cs="Arial"/>
          <w:i w:val="0"/>
          <w:iCs/>
          <w:sz w:val="20"/>
          <w:lang w:eastAsia="en-US"/>
        </w:rPr>
        <w:t xml:space="preserve"> 1, 02150 Espoo, Finland</w:t>
      </w:r>
    </w:p>
    <w:p w14:paraId="3F6AD46D" w14:textId="77777777" w:rsidR="00F74703" w:rsidRPr="00FB4C7C" w:rsidRDefault="00F74703" w:rsidP="00A17BEE">
      <w:pPr>
        <w:pStyle w:val="affiliation"/>
        <w:ind w:firstLine="0"/>
        <w:rPr>
          <w:rFonts w:ascii="Arial" w:eastAsia="Calibri" w:hAnsi="Arial" w:cs="Arial"/>
          <w:i w:val="0"/>
          <w:iCs/>
          <w:sz w:val="20"/>
          <w:lang w:eastAsia="en-US"/>
        </w:rPr>
      </w:pPr>
      <w:r>
        <w:rPr>
          <w:rFonts w:ascii="Arial" w:eastAsia="Calibri" w:hAnsi="Arial" w:cs="Arial"/>
          <w:i w:val="0"/>
          <w:iCs/>
          <w:sz w:val="20"/>
          <w:lang w:eastAsia="en-US"/>
        </w:rPr>
        <w:t>4</w:t>
      </w:r>
      <w:r w:rsidRPr="00FB4C7C">
        <w:rPr>
          <w:rFonts w:ascii="Arial" w:eastAsia="Calibri" w:hAnsi="Arial" w:cs="Arial"/>
          <w:i w:val="0"/>
          <w:iCs/>
          <w:sz w:val="20"/>
          <w:lang w:eastAsia="en-US"/>
        </w:rPr>
        <w:t>. Department of Chemical and Biological Engineering, The University of British Columbia, 2360 E Mall, V6T 1Z3, Vancouver - BC, Canada.</w:t>
      </w:r>
    </w:p>
    <w:p w14:paraId="006429DA" w14:textId="77777777" w:rsidR="00F74703" w:rsidRPr="00FB4C7C" w:rsidRDefault="00F74703" w:rsidP="00A17BEE">
      <w:pPr>
        <w:pStyle w:val="affiliation"/>
        <w:ind w:firstLine="0"/>
        <w:rPr>
          <w:rFonts w:ascii="Arial" w:eastAsia="Calibri" w:hAnsi="Arial" w:cs="Arial"/>
          <w:i w:val="0"/>
          <w:iCs/>
          <w:sz w:val="20"/>
          <w:lang w:eastAsia="en-US"/>
        </w:rPr>
      </w:pPr>
      <w:r w:rsidRPr="00FB4C7C">
        <w:rPr>
          <w:rFonts w:ascii="Arial" w:eastAsia="Calibri" w:hAnsi="Arial" w:cs="Arial"/>
          <w:i w:val="0"/>
          <w:iCs/>
          <w:sz w:val="20"/>
          <w:lang w:eastAsia="en-US"/>
        </w:rPr>
        <w:t xml:space="preserve">5. Department of Chemistry and Materials Science, School of Chemical Engineering, Aalto University, </w:t>
      </w:r>
      <w:proofErr w:type="spellStart"/>
      <w:r w:rsidRPr="00FB4C7C">
        <w:rPr>
          <w:rFonts w:ascii="Arial" w:eastAsia="Calibri" w:hAnsi="Arial" w:cs="Arial"/>
          <w:i w:val="0"/>
          <w:iCs/>
          <w:sz w:val="20"/>
          <w:lang w:eastAsia="en-US"/>
        </w:rPr>
        <w:t>Kemistintie</w:t>
      </w:r>
      <w:proofErr w:type="spellEnd"/>
      <w:r w:rsidRPr="00FB4C7C">
        <w:rPr>
          <w:rFonts w:ascii="Arial" w:eastAsia="Calibri" w:hAnsi="Arial" w:cs="Arial"/>
          <w:i w:val="0"/>
          <w:iCs/>
          <w:sz w:val="20"/>
          <w:lang w:eastAsia="en-US"/>
        </w:rPr>
        <w:t xml:space="preserve"> 1, 02150 Espoo, Finland.</w:t>
      </w:r>
    </w:p>
    <w:p w14:paraId="1DA631EA" w14:textId="77777777" w:rsidR="00F74703" w:rsidRPr="003B4E0D" w:rsidRDefault="00F74703" w:rsidP="00A17BEE">
      <w:pPr>
        <w:pStyle w:val="affiliation"/>
        <w:ind w:firstLine="0"/>
        <w:rPr>
          <w:rFonts w:ascii="Arial" w:eastAsia="Calibri" w:hAnsi="Arial" w:cs="Arial"/>
          <w:i w:val="0"/>
          <w:iCs/>
          <w:sz w:val="20"/>
          <w:lang w:val="de-DE" w:eastAsia="en-US"/>
        </w:rPr>
      </w:pPr>
      <w:r w:rsidRPr="003B4E0D">
        <w:rPr>
          <w:rFonts w:ascii="Arial" w:eastAsia="Calibri" w:hAnsi="Arial" w:cs="Arial"/>
          <w:i w:val="0"/>
          <w:iCs/>
          <w:sz w:val="20"/>
          <w:lang w:val="de-DE" w:eastAsia="en-US"/>
        </w:rPr>
        <w:t xml:space="preserve">6. Mirka Ltd., </w:t>
      </w:r>
      <w:proofErr w:type="spellStart"/>
      <w:r w:rsidRPr="003B4E0D">
        <w:rPr>
          <w:rFonts w:ascii="Arial" w:eastAsia="Calibri" w:hAnsi="Arial" w:cs="Arial"/>
          <w:i w:val="0"/>
          <w:iCs/>
          <w:sz w:val="20"/>
          <w:lang w:val="de-DE" w:eastAsia="en-US"/>
        </w:rPr>
        <w:t>Pensalavägen</w:t>
      </w:r>
      <w:proofErr w:type="spellEnd"/>
      <w:r w:rsidRPr="003B4E0D">
        <w:rPr>
          <w:rFonts w:ascii="Arial" w:eastAsia="Calibri" w:hAnsi="Arial" w:cs="Arial"/>
          <w:i w:val="0"/>
          <w:iCs/>
          <w:sz w:val="20"/>
          <w:lang w:val="de-DE" w:eastAsia="en-US"/>
        </w:rPr>
        <w:t xml:space="preserve"> 210, FI-66850 </w:t>
      </w:r>
      <w:proofErr w:type="spellStart"/>
      <w:r w:rsidRPr="003B4E0D">
        <w:rPr>
          <w:rFonts w:ascii="Arial" w:eastAsia="Calibri" w:hAnsi="Arial" w:cs="Arial"/>
          <w:i w:val="0"/>
          <w:iCs/>
          <w:sz w:val="20"/>
          <w:lang w:val="de-DE" w:eastAsia="en-US"/>
        </w:rPr>
        <w:t>Jeppo</w:t>
      </w:r>
      <w:proofErr w:type="spellEnd"/>
      <w:r w:rsidRPr="003B4E0D">
        <w:rPr>
          <w:rFonts w:ascii="Arial" w:eastAsia="Calibri" w:hAnsi="Arial" w:cs="Arial"/>
          <w:i w:val="0"/>
          <w:iCs/>
          <w:sz w:val="20"/>
          <w:lang w:val="de-DE" w:eastAsia="en-US"/>
        </w:rPr>
        <w:t xml:space="preserve">, </w:t>
      </w:r>
      <w:proofErr w:type="spellStart"/>
      <w:r w:rsidRPr="003B4E0D">
        <w:rPr>
          <w:rFonts w:ascii="Arial" w:eastAsia="Calibri" w:hAnsi="Arial" w:cs="Arial"/>
          <w:i w:val="0"/>
          <w:iCs/>
          <w:sz w:val="20"/>
          <w:lang w:val="de-DE" w:eastAsia="en-US"/>
        </w:rPr>
        <w:t>Finland</w:t>
      </w:r>
      <w:proofErr w:type="spellEnd"/>
    </w:p>
    <w:p w14:paraId="0BD5ADD0" w14:textId="77777777" w:rsidR="00F74703" w:rsidRPr="00FB4C7C" w:rsidRDefault="00F74703" w:rsidP="00A17BEE">
      <w:pPr>
        <w:pStyle w:val="affiliation"/>
        <w:ind w:firstLine="0"/>
        <w:rPr>
          <w:rFonts w:ascii="Arial" w:eastAsia="Calibri" w:hAnsi="Arial" w:cs="Arial"/>
          <w:i w:val="0"/>
          <w:iCs/>
          <w:sz w:val="20"/>
          <w:lang w:eastAsia="en-US"/>
        </w:rPr>
      </w:pPr>
      <w:r w:rsidRPr="00FB4C7C">
        <w:rPr>
          <w:rFonts w:ascii="Arial" w:eastAsia="Calibri" w:hAnsi="Arial" w:cs="Arial"/>
          <w:i w:val="0"/>
          <w:iCs/>
          <w:sz w:val="20"/>
          <w:lang w:eastAsia="en-US"/>
        </w:rPr>
        <w:t>7. Institute of Materials, School of Engineering, École Polytechnique Fédérale de Lausanne (EPFL), 1015, Switzerland.</w:t>
      </w:r>
    </w:p>
    <w:p w14:paraId="1F79B139" w14:textId="77777777" w:rsidR="00F74703" w:rsidRPr="00FB4C7C" w:rsidRDefault="00F74703" w:rsidP="00A17BEE">
      <w:pPr>
        <w:pStyle w:val="affiliation"/>
        <w:ind w:firstLine="0"/>
        <w:rPr>
          <w:rFonts w:ascii="Arial" w:eastAsia="Calibri" w:hAnsi="Arial" w:cs="Arial"/>
          <w:bCs/>
          <w:i w:val="0"/>
          <w:iCs/>
          <w:sz w:val="20"/>
          <w:lang w:eastAsia="en-US"/>
        </w:rPr>
      </w:pPr>
      <w:r w:rsidRPr="00FB4C7C">
        <w:rPr>
          <w:rFonts w:ascii="Arial" w:eastAsia="Calibri" w:hAnsi="Arial" w:cs="Arial"/>
          <w:bCs/>
          <w:i w:val="0"/>
          <w:iCs/>
          <w:sz w:val="20"/>
          <w:lang w:eastAsia="en-US"/>
        </w:rPr>
        <w:t># contributed equally to this work.</w:t>
      </w:r>
    </w:p>
    <w:p w14:paraId="1A909513" w14:textId="77777777" w:rsidR="00F74703" w:rsidRPr="00FB4C7C" w:rsidRDefault="00F74703" w:rsidP="00A17BEE">
      <w:pPr>
        <w:pStyle w:val="email"/>
        <w:ind w:firstLine="0"/>
        <w:rPr>
          <w:rFonts w:ascii="Arial" w:eastAsia="Calibri" w:hAnsi="Arial" w:cs="Arial"/>
          <w:iCs/>
          <w:lang w:eastAsia="en-US"/>
        </w:rPr>
      </w:pPr>
      <w:r w:rsidRPr="00FB4C7C">
        <w:rPr>
          <w:rFonts w:ascii="Arial" w:eastAsia="Calibri" w:hAnsi="Arial" w:cs="Arial"/>
          <w:iCs/>
          <w:lang w:eastAsia="en-US"/>
        </w:rPr>
        <w:t xml:space="preserve">* Correspondent author: </w:t>
      </w:r>
      <w:hyperlink r:id="rId8" w:history="1">
        <w:r w:rsidRPr="00FB4C7C">
          <w:rPr>
            <w:rStyle w:val="Hyperlink"/>
            <w:rFonts w:ascii="Arial" w:hAnsi="Arial" w:cs="Arial"/>
            <w:iCs/>
          </w:rPr>
          <w:t>joice.kaschuk@wur.nl</w:t>
        </w:r>
      </w:hyperlink>
      <w:r w:rsidRPr="00FB4C7C">
        <w:rPr>
          <w:rFonts w:ascii="Arial" w:hAnsi="Arial" w:cs="Arial"/>
          <w:iCs/>
        </w:rPr>
        <w:t xml:space="preserve"> </w:t>
      </w:r>
    </w:p>
    <w:p w14:paraId="4743EB7A" w14:textId="77777777" w:rsidR="00F306C5" w:rsidRPr="00F306C5" w:rsidRDefault="00F306C5" w:rsidP="00A17BEE">
      <w:pPr>
        <w:pStyle w:val="keywords"/>
        <w:spacing w:before="0" w:line="240" w:lineRule="auto"/>
        <w:ind w:firstLine="0"/>
        <w:rPr>
          <w:rFonts w:ascii="Arial" w:eastAsia="Calibri" w:hAnsi="Arial" w:cs="Arial"/>
          <w:i w:val="0"/>
          <w:iCs/>
          <w:sz w:val="22"/>
          <w:szCs w:val="22"/>
          <w:lang w:eastAsia="en-US"/>
        </w:rPr>
      </w:pPr>
      <w:r w:rsidRPr="00F306C5">
        <w:rPr>
          <w:rFonts w:ascii="Arial" w:eastAsia="Calibri" w:hAnsi="Arial" w:cs="Arial"/>
          <w:i w:val="0"/>
          <w:iCs/>
          <w:sz w:val="22"/>
          <w:szCs w:val="22"/>
          <w:lang w:eastAsia="en-US"/>
        </w:rPr>
        <w:t>KEYWORDS: stability, optoelectronics, mechanical properties, UV protection, biobased solar cells.</w:t>
      </w:r>
    </w:p>
    <w:p w14:paraId="63D1B5F7" w14:textId="77777777" w:rsidR="00EB187A" w:rsidRPr="00F306C5" w:rsidRDefault="00C77D21" w:rsidP="00A17BEE">
      <w:pPr>
        <w:pStyle w:val="paragraph"/>
        <w:keepNext/>
        <w:spacing w:before="0" w:beforeAutospacing="0" w:after="0" w:afterAutospacing="0"/>
        <w:ind w:firstLine="0"/>
        <w:jc w:val="left"/>
        <w:rPr>
          <w:rFonts w:ascii="Arial" w:hAnsi="Arial" w:cs="Arial"/>
        </w:rPr>
      </w:pPr>
      <w:r w:rsidRPr="00F306C5">
        <w:rPr>
          <w:rFonts w:ascii="Arial" w:hAnsi="Arial" w:cs="Arial"/>
          <w:bCs/>
          <w:noProof/>
          <w:color w:val="000000" w:themeColor="text1"/>
        </w:rPr>
        <w:lastRenderedPageBreak/>
        <w:drawing>
          <wp:inline distT="0" distB="0" distL="0" distR="0" wp14:anchorId="76DC030E" wp14:editId="617E4CDA">
            <wp:extent cx="5040000" cy="5430269"/>
            <wp:effectExtent l="0" t="0" r="1905" b="5715"/>
            <wp:docPr id="20315228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40000" cy="5430269"/>
                    </a:xfrm>
                    <a:prstGeom prst="rect">
                      <a:avLst/>
                    </a:prstGeom>
                    <a:noFill/>
                    <a:ln>
                      <a:noFill/>
                    </a:ln>
                  </pic:spPr>
                </pic:pic>
              </a:graphicData>
            </a:graphic>
          </wp:inline>
        </w:drawing>
      </w:r>
    </w:p>
    <w:p w14:paraId="1E23AD01" w14:textId="6493A754" w:rsidR="00647B2A" w:rsidRPr="00F306C5" w:rsidRDefault="00EB187A" w:rsidP="00A17BEE">
      <w:pPr>
        <w:pStyle w:val="Caption"/>
        <w:spacing w:after="0"/>
        <w:ind w:firstLine="0"/>
        <w:rPr>
          <w:rFonts w:ascii="Arial" w:hAnsi="Arial" w:cs="Arial"/>
          <w:i w:val="0"/>
          <w:iCs w:val="0"/>
          <w:sz w:val="20"/>
          <w:szCs w:val="20"/>
        </w:rPr>
      </w:pPr>
      <w:r w:rsidRPr="00F306C5">
        <w:rPr>
          <w:rFonts w:ascii="Arial" w:hAnsi="Arial" w:cs="Arial"/>
          <w:b/>
          <w:bCs/>
          <w:i w:val="0"/>
          <w:iCs w:val="0"/>
          <w:sz w:val="20"/>
          <w:szCs w:val="20"/>
        </w:rPr>
        <w:t xml:space="preserve">Figure S </w:t>
      </w:r>
      <w:r w:rsidRPr="00F306C5">
        <w:rPr>
          <w:rFonts w:ascii="Arial" w:hAnsi="Arial" w:cs="Arial"/>
          <w:b/>
          <w:bCs/>
          <w:i w:val="0"/>
          <w:iCs w:val="0"/>
          <w:sz w:val="20"/>
          <w:szCs w:val="20"/>
        </w:rPr>
        <w:fldChar w:fldCharType="begin"/>
      </w:r>
      <w:r w:rsidRPr="00F306C5">
        <w:rPr>
          <w:rFonts w:ascii="Arial" w:hAnsi="Arial" w:cs="Arial"/>
          <w:b/>
          <w:bCs/>
          <w:i w:val="0"/>
          <w:iCs w:val="0"/>
          <w:sz w:val="20"/>
          <w:szCs w:val="20"/>
        </w:rPr>
        <w:instrText xml:space="preserve"> SEQ Figure_S \* ARABIC </w:instrText>
      </w:r>
      <w:r w:rsidRPr="00F306C5">
        <w:rPr>
          <w:rFonts w:ascii="Arial" w:hAnsi="Arial" w:cs="Arial"/>
          <w:b/>
          <w:bCs/>
          <w:i w:val="0"/>
          <w:iCs w:val="0"/>
          <w:sz w:val="20"/>
          <w:szCs w:val="20"/>
        </w:rPr>
        <w:fldChar w:fldCharType="separate"/>
      </w:r>
      <w:r w:rsidR="00B26129" w:rsidRPr="00F306C5">
        <w:rPr>
          <w:rFonts w:ascii="Arial" w:hAnsi="Arial" w:cs="Arial"/>
          <w:b/>
          <w:bCs/>
          <w:i w:val="0"/>
          <w:iCs w:val="0"/>
          <w:noProof/>
          <w:sz w:val="20"/>
          <w:szCs w:val="20"/>
        </w:rPr>
        <w:t>1</w:t>
      </w:r>
      <w:r w:rsidRPr="00F306C5">
        <w:rPr>
          <w:rFonts w:ascii="Arial" w:hAnsi="Arial" w:cs="Arial"/>
          <w:b/>
          <w:bCs/>
          <w:i w:val="0"/>
          <w:iCs w:val="0"/>
          <w:sz w:val="20"/>
          <w:szCs w:val="20"/>
        </w:rPr>
        <w:fldChar w:fldCharType="end"/>
      </w:r>
      <w:r w:rsidRPr="00F306C5">
        <w:rPr>
          <w:rFonts w:ascii="Arial" w:hAnsi="Arial" w:cs="Arial"/>
          <w:b/>
          <w:bCs/>
          <w:i w:val="0"/>
          <w:iCs w:val="0"/>
          <w:sz w:val="20"/>
          <w:szCs w:val="20"/>
        </w:rPr>
        <w:t xml:space="preserve"> -</w:t>
      </w:r>
      <w:r w:rsidRPr="00F306C5">
        <w:rPr>
          <w:rFonts w:ascii="Arial" w:hAnsi="Arial" w:cs="Arial"/>
          <w:i w:val="0"/>
          <w:iCs w:val="0"/>
          <w:sz w:val="20"/>
          <w:szCs w:val="20"/>
        </w:rPr>
        <w:t xml:space="preserve"> </w:t>
      </w:r>
      <w:r w:rsidR="00647B2A" w:rsidRPr="00F306C5">
        <w:rPr>
          <w:rFonts w:ascii="Arial" w:hAnsi="Arial" w:cs="Arial"/>
          <w:i w:val="0"/>
          <w:iCs w:val="0"/>
          <w:sz w:val="20"/>
          <w:szCs w:val="20"/>
        </w:rPr>
        <w:t>Variation of CIELAB values over time for nanocellulose films with standard deviation. The plots show the changes in lightness (</w:t>
      </w:r>
      <w:r w:rsidR="00647B2A" w:rsidRPr="00231E3B">
        <w:rPr>
          <w:rFonts w:ascii="Arial" w:hAnsi="Arial" w:cs="Arial"/>
          <w:sz w:val="20"/>
          <w:szCs w:val="20"/>
        </w:rPr>
        <w:t>L*</w:t>
      </w:r>
      <w:r w:rsidR="00647B2A" w:rsidRPr="00F306C5">
        <w:rPr>
          <w:rFonts w:ascii="Arial" w:hAnsi="Arial" w:cs="Arial"/>
          <w:i w:val="0"/>
          <w:iCs w:val="0"/>
          <w:sz w:val="20"/>
          <w:szCs w:val="20"/>
        </w:rPr>
        <w:t>), green-red component (</w:t>
      </w:r>
      <w:r w:rsidR="00647B2A" w:rsidRPr="00231E3B">
        <w:rPr>
          <w:rFonts w:ascii="Arial" w:hAnsi="Arial" w:cs="Arial"/>
          <w:sz w:val="20"/>
          <w:szCs w:val="20"/>
        </w:rPr>
        <w:t>a*</w:t>
      </w:r>
      <w:r w:rsidR="00647B2A" w:rsidRPr="00F306C5">
        <w:rPr>
          <w:rFonts w:ascii="Arial" w:hAnsi="Arial" w:cs="Arial"/>
          <w:i w:val="0"/>
          <w:iCs w:val="0"/>
          <w:sz w:val="20"/>
          <w:szCs w:val="20"/>
        </w:rPr>
        <w:t>), and blue-yellow component (</w:t>
      </w:r>
      <w:r w:rsidR="00647B2A" w:rsidRPr="00231E3B">
        <w:rPr>
          <w:rFonts w:ascii="Arial" w:hAnsi="Arial" w:cs="Arial"/>
          <w:sz w:val="20"/>
          <w:szCs w:val="20"/>
        </w:rPr>
        <w:t>b*</w:t>
      </w:r>
      <w:r w:rsidR="00647B2A" w:rsidRPr="00F306C5">
        <w:rPr>
          <w:rFonts w:ascii="Arial" w:hAnsi="Arial" w:cs="Arial"/>
          <w:i w:val="0"/>
          <w:iCs w:val="0"/>
          <w:sz w:val="20"/>
          <w:szCs w:val="20"/>
        </w:rPr>
        <w:t xml:space="preserve">) during a 1000-hour accelerated aging test. The </w:t>
      </w:r>
      <w:r w:rsidR="00647B2A" w:rsidRPr="00231E3B">
        <w:rPr>
          <w:rFonts w:ascii="Arial" w:hAnsi="Arial" w:cs="Arial"/>
          <w:sz w:val="20"/>
          <w:szCs w:val="20"/>
        </w:rPr>
        <w:t>L*</w:t>
      </w:r>
      <w:r w:rsidR="00647B2A" w:rsidRPr="00F306C5">
        <w:rPr>
          <w:rFonts w:ascii="Arial" w:hAnsi="Arial" w:cs="Arial"/>
          <w:i w:val="0"/>
          <w:iCs w:val="0"/>
          <w:sz w:val="20"/>
          <w:szCs w:val="20"/>
        </w:rPr>
        <w:t xml:space="preserve"> value represents lightness ranging from black (0) to white (100), </w:t>
      </w:r>
      <w:r w:rsidR="00647B2A" w:rsidRPr="00231E3B">
        <w:rPr>
          <w:rFonts w:ascii="Arial" w:hAnsi="Arial" w:cs="Arial"/>
          <w:sz w:val="20"/>
          <w:szCs w:val="20"/>
        </w:rPr>
        <w:t>a*</w:t>
      </w:r>
      <w:r w:rsidR="00647B2A" w:rsidRPr="00F306C5">
        <w:rPr>
          <w:rFonts w:ascii="Arial" w:hAnsi="Arial" w:cs="Arial"/>
          <w:i w:val="0"/>
          <w:iCs w:val="0"/>
          <w:sz w:val="20"/>
          <w:szCs w:val="20"/>
        </w:rPr>
        <w:t xml:space="preserve"> indicates the green to red spectrum, and </w:t>
      </w:r>
      <w:r w:rsidR="00647B2A" w:rsidRPr="00231E3B">
        <w:rPr>
          <w:rFonts w:ascii="Arial" w:hAnsi="Arial" w:cs="Arial"/>
          <w:sz w:val="20"/>
          <w:szCs w:val="20"/>
        </w:rPr>
        <w:t>b*</w:t>
      </w:r>
      <w:r w:rsidR="00647B2A" w:rsidRPr="00F306C5">
        <w:rPr>
          <w:rFonts w:ascii="Arial" w:hAnsi="Arial" w:cs="Arial"/>
          <w:i w:val="0"/>
          <w:iCs w:val="0"/>
          <w:sz w:val="20"/>
          <w:szCs w:val="20"/>
        </w:rPr>
        <w:t xml:space="preserve"> indicates the blue to yellow spectrum. Error bars represent the standard deviation for three distinct regions of each film, ensuring uniformity in the data.</w:t>
      </w:r>
    </w:p>
    <w:p w14:paraId="6DC234A1" w14:textId="77777777" w:rsidR="00EF4AEE" w:rsidRPr="00F306C5" w:rsidRDefault="00EF4AEE" w:rsidP="00A17BEE">
      <w:pPr>
        <w:spacing w:line="240" w:lineRule="auto"/>
        <w:ind w:firstLine="0"/>
        <w:rPr>
          <w:rFonts w:ascii="Arial" w:hAnsi="Arial" w:cs="Arial"/>
        </w:rPr>
      </w:pPr>
    </w:p>
    <w:p w14:paraId="6F5667D5" w14:textId="60DA4725" w:rsidR="00EF4AEE" w:rsidRPr="00F306C5" w:rsidRDefault="00EF4AEE" w:rsidP="00A17BEE">
      <w:pPr>
        <w:spacing w:line="240" w:lineRule="auto"/>
        <w:ind w:firstLine="0"/>
        <w:jc w:val="left"/>
        <w:rPr>
          <w:rFonts w:ascii="Arial" w:hAnsi="Arial" w:cs="Arial"/>
        </w:rPr>
      </w:pPr>
      <w:r w:rsidRPr="00F306C5">
        <w:rPr>
          <w:rFonts w:ascii="Arial" w:hAnsi="Arial" w:cs="Arial"/>
        </w:rPr>
        <w:br w:type="page"/>
      </w:r>
    </w:p>
    <w:p w14:paraId="54892F68" w14:textId="77777777" w:rsidR="007F2E29" w:rsidRPr="00F306C5" w:rsidRDefault="007F2E29" w:rsidP="00A17BEE">
      <w:pPr>
        <w:pStyle w:val="tablelegend"/>
        <w:spacing w:before="0" w:line="240" w:lineRule="auto"/>
        <w:ind w:firstLine="0"/>
        <w:rPr>
          <w:rFonts w:ascii="Arial" w:hAnsi="Arial" w:cs="Arial"/>
          <w:i/>
          <w:iCs/>
        </w:rPr>
      </w:pPr>
      <w:r w:rsidRPr="00F306C5">
        <w:rPr>
          <w:rFonts w:ascii="Arial" w:hAnsi="Arial" w:cs="Arial"/>
        </w:rPr>
        <w:lastRenderedPageBreak/>
        <w:t xml:space="preserve">Table S </w:t>
      </w:r>
      <w:r w:rsidRPr="00F306C5">
        <w:rPr>
          <w:rFonts w:ascii="Arial" w:hAnsi="Arial" w:cs="Arial"/>
        </w:rPr>
        <w:fldChar w:fldCharType="begin"/>
      </w:r>
      <w:r w:rsidRPr="00F306C5">
        <w:rPr>
          <w:rFonts w:ascii="Arial" w:hAnsi="Arial" w:cs="Arial"/>
        </w:rPr>
        <w:instrText xml:space="preserve"> SEQ Table_S \* ARABIC </w:instrText>
      </w:r>
      <w:r w:rsidRPr="00F306C5">
        <w:rPr>
          <w:rFonts w:ascii="Arial" w:hAnsi="Arial" w:cs="Arial"/>
        </w:rPr>
        <w:fldChar w:fldCharType="separate"/>
      </w:r>
      <w:r w:rsidRPr="00F306C5">
        <w:rPr>
          <w:rFonts w:ascii="Arial" w:hAnsi="Arial" w:cs="Arial"/>
          <w:noProof/>
        </w:rPr>
        <w:t>1</w:t>
      </w:r>
      <w:r w:rsidRPr="00F306C5">
        <w:rPr>
          <w:rFonts w:ascii="Arial" w:hAnsi="Arial" w:cs="Arial"/>
          <w:noProof/>
        </w:rPr>
        <w:fldChar w:fldCharType="end"/>
      </w:r>
      <w:r w:rsidRPr="00F306C5">
        <w:rPr>
          <w:rFonts w:ascii="Arial" w:hAnsi="Arial" w:cs="Arial"/>
        </w:rPr>
        <w:t xml:space="preserve"> – Thicknesses of the NC films </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1630"/>
        <w:gridCol w:w="1825"/>
      </w:tblGrid>
      <w:tr w:rsidR="007F2E29" w:rsidRPr="00F306C5" w14:paraId="069895F8" w14:textId="77777777" w:rsidTr="00A17BEE">
        <w:trPr>
          <w:trHeight w:val="456"/>
        </w:trPr>
        <w:tc>
          <w:tcPr>
            <w:tcW w:w="1630" w:type="dxa"/>
            <w:vAlign w:val="center"/>
          </w:tcPr>
          <w:p w14:paraId="2DEC889E" w14:textId="77777777" w:rsidR="007F2E29" w:rsidRPr="00F306C5" w:rsidRDefault="007F2E29" w:rsidP="00A17BEE">
            <w:pPr>
              <w:spacing w:line="240" w:lineRule="auto"/>
              <w:ind w:firstLine="0"/>
              <w:rPr>
                <w:rFonts w:ascii="Arial" w:hAnsi="Arial" w:cs="Arial"/>
              </w:rPr>
            </w:pPr>
            <w:r w:rsidRPr="00F306C5">
              <w:rPr>
                <w:rFonts w:ascii="Arial" w:hAnsi="Arial" w:cs="Arial"/>
              </w:rPr>
              <w:t>Sample</w:t>
            </w:r>
          </w:p>
        </w:tc>
        <w:tc>
          <w:tcPr>
            <w:tcW w:w="1825" w:type="dxa"/>
            <w:vAlign w:val="center"/>
          </w:tcPr>
          <w:p w14:paraId="6641D516" w14:textId="77777777" w:rsidR="007F2E29" w:rsidRPr="00F306C5" w:rsidRDefault="007F2E29" w:rsidP="00A17BEE">
            <w:pPr>
              <w:spacing w:line="240" w:lineRule="auto"/>
              <w:ind w:firstLine="0"/>
              <w:rPr>
                <w:rFonts w:ascii="Arial" w:hAnsi="Arial" w:cs="Arial"/>
              </w:rPr>
            </w:pPr>
            <w:r w:rsidRPr="00F306C5">
              <w:rPr>
                <w:rFonts w:ascii="Arial" w:hAnsi="Arial" w:cs="Arial"/>
              </w:rPr>
              <w:t>Thickness (</w:t>
            </w:r>
            <w:r w:rsidRPr="00F306C5">
              <w:rPr>
                <w:rFonts w:ascii="Arial" w:hAnsi="Arial" w:cs="Arial"/>
              </w:rPr>
              <w:sym w:font="Symbol" w:char="F06D"/>
            </w:r>
            <w:r w:rsidRPr="00F306C5">
              <w:rPr>
                <w:rFonts w:ascii="Arial" w:hAnsi="Arial" w:cs="Arial"/>
              </w:rPr>
              <w:t>m)</w:t>
            </w:r>
          </w:p>
        </w:tc>
      </w:tr>
      <w:tr w:rsidR="007F2E29" w:rsidRPr="00F306C5" w14:paraId="58448EB8" w14:textId="77777777" w:rsidTr="00A17BEE">
        <w:trPr>
          <w:trHeight w:val="456"/>
        </w:trPr>
        <w:tc>
          <w:tcPr>
            <w:tcW w:w="1630" w:type="dxa"/>
            <w:vAlign w:val="center"/>
          </w:tcPr>
          <w:p w14:paraId="26BE10EE" w14:textId="77777777" w:rsidR="007F2E29" w:rsidRPr="00F306C5" w:rsidRDefault="007F2E29" w:rsidP="00A17BEE">
            <w:pPr>
              <w:spacing w:line="240" w:lineRule="auto"/>
              <w:ind w:firstLine="0"/>
              <w:rPr>
                <w:rFonts w:ascii="Arial" w:hAnsi="Arial" w:cs="Arial"/>
              </w:rPr>
            </w:pPr>
            <w:r w:rsidRPr="00F306C5">
              <w:rPr>
                <w:rFonts w:ascii="Arial" w:hAnsi="Arial" w:cs="Arial"/>
              </w:rPr>
              <w:t>CNF</w:t>
            </w:r>
          </w:p>
        </w:tc>
        <w:tc>
          <w:tcPr>
            <w:tcW w:w="1825" w:type="dxa"/>
            <w:vAlign w:val="center"/>
          </w:tcPr>
          <w:p w14:paraId="649C3906" w14:textId="77777777" w:rsidR="007F2E29" w:rsidRPr="00F306C5" w:rsidRDefault="007F2E29" w:rsidP="00A17BEE">
            <w:pPr>
              <w:spacing w:line="240" w:lineRule="auto"/>
              <w:ind w:firstLine="0"/>
              <w:rPr>
                <w:rFonts w:ascii="Arial" w:hAnsi="Arial" w:cs="Arial"/>
              </w:rPr>
            </w:pPr>
            <w:r w:rsidRPr="00F306C5">
              <w:rPr>
                <w:rFonts w:ascii="Arial" w:hAnsi="Arial" w:cs="Arial"/>
              </w:rPr>
              <w:t>40</w:t>
            </w:r>
            <w:r w:rsidRPr="00F306C5">
              <w:rPr>
                <w:rFonts w:ascii="Arial" w:hAnsi="Arial" w:cs="Arial"/>
              </w:rPr>
              <w:sym w:font="Symbol" w:char="F0B1"/>
            </w:r>
            <w:r w:rsidRPr="00F306C5">
              <w:rPr>
                <w:rFonts w:ascii="Arial" w:hAnsi="Arial" w:cs="Arial"/>
              </w:rPr>
              <w:t>1</w:t>
            </w:r>
          </w:p>
        </w:tc>
      </w:tr>
      <w:tr w:rsidR="007F2E29" w:rsidRPr="00F306C5" w14:paraId="254DE240" w14:textId="77777777" w:rsidTr="00A17BEE">
        <w:trPr>
          <w:trHeight w:val="456"/>
        </w:trPr>
        <w:tc>
          <w:tcPr>
            <w:tcW w:w="1630" w:type="dxa"/>
            <w:vAlign w:val="center"/>
          </w:tcPr>
          <w:p w14:paraId="59240621" w14:textId="77777777" w:rsidR="007F2E29" w:rsidRPr="00F306C5" w:rsidRDefault="007F2E29" w:rsidP="00A17BEE">
            <w:pPr>
              <w:spacing w:line="240" w:lineRule="auto"/>
              <w:ind w:firstLine="0"/>
              <w:rPr>
                <w:rFonts w:ascii="Arial" w:hAnsi="Arial" w:cs="Arial"/>
              </w:rPr>
            </w:pPr>
            <w:r w:rsidRPr="00F306C5">
              <w:rPr>
                <w:rFonts w:ascii="Arial" w:hAnsi="Arial" w:cs="Arial"/>
              </w:rPr>
              <w:t>LignoCNF</w:t>
            </w:r>
          </w:p>
        </w:tc>
        <w:tc>
          <w:tcPr>
            <w:tcW w:w="1825" w:type="dxa"/>
            <w:vAlign w:val="center"/>
          </w:tcPr>
          <w:p w14:paraId="560BFF4C" w14:textId="77777777" w:rsidR="007F2E29" w:rsidRPr="00F306C5" w:rsidRDefault="007F2E29" w:rsidP="00A17BEE">
            <w:pPr>
              <w:spacing w:line="240" w:lineRule="auto"/>
              <w:ind w:firstLine="0"/>
              <w:rPr>
                <w:rFonts w:ascii="Arial" w:hAnsi="Arial" w:cs="Arial"/>
              </w:rPr>
            </w:pPr>
            <w:r w:rsidRPr="00F306C5">
              <w:rPr>
                <w:rFonts w:ascii="Arial" w:hAnsi="Arial" w:cs="Arial"/>
              </w:rPr>
              <w:t>60</w:t>
            </w:r>
            <w:r w:rsidRPr="00F306C5">
              <w:rPr>
                <w:rFonts w:ascii="Arial" w:hAnsi="Arial" w:cs="Arial"/>
              </w:rPr>
              <w:sym w:font="Symbol" w:char="F0B1"/>
            </w:r>
            <w:r w:rsidRPr="00F306C5">
              <w:rPr>
                <w:rFonts w:ascii="Arial" w:hAnsi="Arial" w:cs="Arial"/>
              </w:rPr>
              <w:t>2</w:t>
            </w:r>
          </w:p>
        </w:tc>
      </w:tr>
      <w:tr w:rsidR="007F2E29" w:rsidRPr="00F306C5" w14:paraId="19FCFAB7" w14:textId="77777777" w:rsidTr="00A17BEE">
        <w:trPr>
          <w:trHeight w:val="456"/>
        </w:trPr>
        <w:tc>
          <w:tcPr>
            <w:tcW w:w="1630" w:type="dxa"/>
            <w:vAlign w:val="center"/>
          </w:tcPr>
          <w:p w14:paraId="37ED6A59" w14:textId="77777777" w:rsidR="007F2E29" w:rsidRPr="00F306C5" w:rsidRDefault="007F2E29" w:rsidP="00A17BEE">
            <w:pPr>
              <w:spacing w:line="240" w:lineRule="auto"/>
              <w:ind w:firstLine="0"/>
              <w:rPr>
                <w:rFonts w:ascii="Arial" w:hAnsi="Arial" w:cs="Arial"/>
              </w:rPr>
            </w:pPr>
            <w:r w:rsidRPr="00F306C5">
              <w:rPr>
                <w:rFonts w:ascii="Arial" w:hAnsi="Arial" w:cs="Arial"/>
              </w:rPr>
              <w:t>CNF-LNP</w:t>
            </w:r>
          </w:p>
        </w:tc>
        <w:tc>
          <w:tcPr>
            <w:tcW w:w="1825" w:type="dxa"/>
            <w:vAlign w:val="center"/>
          </w:tcPr>
          <w:p w14:paraId="2A159B8B" w14:textId="77777777" w:rsidR="007F2E29" w:rsidRPr="00F306C5" w:rsidRDefault="007F2E29" w:rsidP="00A17BEE">
            <w:pPr>
              <w:spacing w:line="240" w:lineRule="auto"/>
              <w:ind w:firstLine="0"/>
              <w:rPr>
                <w:rFonts w:ascii="Arial" w:hAnsi="Arial" w:cs="Arial"/>
              </w:rPr>
            </w:pPr>
            <w:r w:rsidRPr="00F306C5">
              <w:rPr>
                <w:rFonts w:ascii="Arial" w:hAnsi="Arial" w:cs="Arial"/>
              </w:rPr>
              <w:t>50</w:t>
            </w:r>
            <w:r w:rsidRPr="00F306C5">
              <w:rPr>
                <w:rFonts w:ascii="Arial" w:hAnsi="Arial" w:cs="Arial"/>
              </w:rPr>
              <w:sym w:font="Symbol" w:char="F0B1"/>
            </w:r>
            <w:r w:rsidRPr="00F306C5">
              <w:rPr>
                <w:rFonts w:ascii="Arial" w:hAnsi="Arial" w:cs="Arial"/>
              </w:rPr>
              <w:t>1</w:t>
            </w:r>
          </w:p>
        </w:tc>
      </w:tr>
      <w:tr w:rsidR="007F2E29" w:rsidRPr="00F306C5" w14:paraId="607C672E" w14:textId="77777777" w:rsidTr="00A17BEE">
        <w:trPr>
          <w:trHeight w:val="456"/>
        </w:trPr>
        <w:tc>
          <w:tcPr>
            <w:tcW w:w="1630" w:type="dxa"/>
            <w:vAlign w:val="center"/>
          </w:tcPr>
          <w:p w14:paraId="192B0271" w14:textId="77777777" w:rsidR="007F2E29" w:rsidRPr="00F306C5" w:rsidRDefault="007F2E29" w:rsidP="00A17BEE">
            <w:pPr>
              <w:spacing w:line="240" w:lineRule="auto"/>
              <w:ind w:firstLine="0"/>
              <w:rPr>
                <w:rFonts w:ascii="Arial" w:hAnsi="Arial" w:cs="Arial"/>
              </w:rPr>
            </w:pPr>
            <w:r w:rsidRPr="00F306C5">
              <w:rPr>
                <w:rFonts w:ascii="Arial" w:hAnsi="Arial" w:cs="Arial"/>
              </w:rPr>
              <w:t>TOCNF</w:t>
            </w:r>
          </w:p>
        </w:tc>
        <w:tc>
          <w:tcPr>
            <w:tcW w:w="1825" w:type="dxa"/>
            <w:vAlign w:val="center"/>
          </w:tcPr>
          <w:p w14:paraId="2209793A" w14:textId="77777777" w:rsidR="007F2E29" w:rsidRPr="00F306C5" w:rsidRDefault="007F2E29" w:rsidP="00A17BEE">
            <w:pPr>
              <w:spacing w:line="240" w:lineRule="auto"/>
              <w:ind w:firstLine="0"/>
              <w:rPr>
                <w:rFonts w:ascii="Arial" w:hAnsi="Arial" w:cs="Arial"/>
              </w:rPr>
            </w:pPr>
            <w:r w:rsidRPr="00F306C5">
              <w:rPr>
                <w:rFonts w:ascii="Arial" w:hAnsi="Arial" w:cs="Arial"/>
              </w:rPr>
              <w:t>40</w:t>
            </w:r>
            <w:r w:rsidRPr="00F306C5">
              <w:rPr>
                <w:rFonts w:ascii="Arial" w:hAnsi="Arial" w:cs="Arial"/>
              </w:rPr>
              <w:sym w:font="Symbol" w:char="F0B1"/>
            </w:r>
            <w:r w:rsidRPr="00F306C5">
              <w:rPr>
                <w:rFonts w:ascii="Arial" w:hAnsi="Arial" w:cs="Arial"/>
              </w:rPr>
              <w:t>2</w:t>
            </w:r>
          </w:p>
        </w:tc>
      </w:tr>
      <w:tr w:rsidR="007F2E29" w:rsidRPr="00F306C5" w14:paraId="1535603E" w14:textId="77777777" w:rsidTr="00A17BEE">
        <w:trPr>
          <w:trHeight w:val="456"/>
        </w:trPr>
        <w:tc>
          <w:tcPr>
            <w:tcW w:w="1630" w:type="dxa"/>
            <w:vAlign w:val="center"/>
          </w:tcPr>
          <w:p w14:paraId="1F8F49FF" w14:textId="77777777" w:rsidR="007F2E29" w:rsidRPr="00F306C5" w:rsidRDefault="007F2E29" w:rsidP="00A17BEE">
            <w:pPr>
              <w:spacing w:line="240" w:lineRule="auto"/>
              <w:ind w:firstLine="0"/>
              <w:rPr>
                <w:rFonts w:ascii="Arial" w:hAnsi="Arial" w:cs="Arial"/>
              </w:rPr>
            </w:pPr>
            <w:r w:rsidRPr="00F306C5">
              <w:rPr>
                <w:rFonts w:ascii="Arial" w:hAnsi="Arial" w:cs="Arial"/>
              </w:rPr>
              <w:t>LignoTOCNF</w:t>
            </w:r>
          </w:p>
        </w:tc>
        <w:tc>
          <w:tcPr>
            <w:tcW w:w="1825" w:type="dxa"/>
            <w:vAlign w:val="center"/>
          </w:tcPr>
          <w:p w14:paraId="57167FE5" w14:textId="77777777" w:rsidR="007F2E29" w:rsidRPr="00F306C5" w:rsidRDefault="007F2E29" w:rsidP="00A17BEE">
            <w:pPr>
              <w:spacing w:line="240" w:lineRule="auto"/>
              <w:ind w:firstLine="0"/>
              <w:rPr>
                <w:rFonts w:ascii="Arial" w:hAnsi="Arial" w:cs="Arial"/>
              </w:rPr>
            </w:pPr>
            <w:r w:rsidRPr="00F306C5">
              <w:rPr>
                <w:rFonts w:ascii="Arial" w:hAnsi="Arial" w:cs="Arial"/>
              </w:rPr>
              <w:t>80</w:t>
            </w:r>
            <w:r w:rsidRPr="00F306C5">
              <w:rPr>
                <w:rFonts w:ascii="Arial" w:hAnsi="Arial" w:cs="Arial"/>
              </w:rPr>
              <w:sym w:font="Symbol" w:char="F0B1"/>
            </w:r>
            <w:r w:rsidRPr="00F306C5">
              <w:rPr>
                <w:rFonts w:ascii="Arial" w:hAnsi="Arial" w:cs="Arial"/>
              </w:rPr>
              <w:t>5</w:t>
            </w:r>
          </w:p>
        </w:tc>
      </w:tr>
      <w:tr w:rsidR="007F2E29" w:rsidRPr="00F306C5" w14:paraId="37362308" w14:textId="77777777" w:rsidTr="00A17BEE">
        <w:trPr>
          <w:trHeight w:val="456"/>
        </w:trPr>
        <w:tc>
          <w:tcPr>
            <w:tcW w:w="1630" w:type="dxa"/>
            <w:vAlign w:val="center"/>
          </w:tcPr>
          <w:p w14:paraId="3BB9DB27" w14:textId="77777777" w:rsidR="007F2E29" w:rsidRPr="00F306C5" w:rsidRDefault="007F2E29" w:rsidP="00A17BEE">
            <w:pPr>
              <w:spacing w:line="240" w:lineRule="auto"/>
              <w:ind w:firstLine="0"/>
              <w:rPr>
                <w:rFonts w:ascii="Arial" w:hAnsi="Arial" w:cs="Arial"/>
              </w:rPr>
            </w:pPr>
            <w:r w:rsidRPr="00F306C5">
              <w:rPr>
                <w:rFonts w:ascii="Arial" w:hAnsi="Arial" w:cs="Arial"/>
              </w:rPr>
              <w:t>TOCNF-LNP</w:t>
            </w:r>
          </w:p>
        </w:tc>
        <w:tc>
          <w:tcPr>
            <w:tcW w:w="1825" w:type="dxa"/>
            <w:vAlign w:val="center"/>
          </w:tcPr>
          <w:p w14:paraId="64193C96" w14:textId="77777777" w:rsidR="007F2E29" w:rsidRPr="00F306C5" w:rsidRDefault="007F2E29" w:rsidP="00A17BEE">
            <w:pPr>
              <w:spacing w:line="240" w:lineRule="auto"/>
              <w:ind w:firstLine="0"/>
              <w:rPr>
                <w:rFonts w:ascii="Arial" w:hAnsi="Arial" w:cs="Arial"/>
              </w:rPr>
            </w:pPr>
            <w:r w:rsidRPr="00F306C5">
              <w:rPr>
                <w:rFonts w:ascii="Arial" w:hAnsi="Arial" w:cs="Arial"/>
              </w:rPr>
              <w:t>50</w:t>
            </w:r>
            <w:r w:rsidRPr="00F306C5">
              <w:rPr>
                <w:rFonts w:ascii="Arial" w:hAnsi="Arial" w:cs="Arial"/>
              </w:rPr>
              <w:sym w:font="Symbol" w:char="F0B1"/>
            </w:r>
            <w:r w:rsidRPr="00F306C5">
              <w:rPr>
                <w:rFonts w:ascii="Arial" w:hAnsi="Arial" w:cs="Arial"/>
              </w:rPr>
              <w:t>1</w:t>
            </w:r>
          </w:p>
        </w:tc>
      </w:tr>
    </w:tbl>
    <w:p w14:paraId="2D853947" w14:textId="77777777" w:rsidR="00191C7C" w:rsidRPr="00F306C5" w:rsidRDefault="00191C7C" w:rsidP="00A17BEE">
      <w:pPr>
        <w:pStyle w:val="tablelegend"/>
        <w:spacing w:before="0" w:line="240" w:lineRule="auto"/>
        <w:ind w:firstLine="0"/>
        <w:rPr>
          <w:rFonts w:ascii="Arial" w:eastAsiaTheme="minorEastAsia" w:hAnsi="Arial" w:cs="Arial"/>
          <w:bCs/>
          <w:color w:val="000000" w:themeColor="text1"/>
        </w:rPr>
      </w:pPr>
    </w:p>
    <w:p w14:paraId="4C609DDC" w14:textId="35E32874" w:rsidR="005570BF" w:rsidRPr="00F306C5" w:rsidRDefault="005570BF" w:rsidP="00A17BEE">
      <w:pPr>
        <w:pStyle w:val="tablelegend"/>
        <w:spacing w:before="0" w:line="240" w:lineRule="auto"/>
        <w:ind w:firstLine="0"/>
        <w:rPr>
          <w:rFonts w:ascii="Arial" w:eastAsia="Calibri" w:hAnsi="Arial" w:cs="Arial"/>
          <w:lang w:eastAsia="en-US"/>
        </w:rPr>
      </w:pPr>
      <w:r w:rsidRPr="00F306C5">
        <w:rPr>
          <w:rFonts w:ascii="Arial" w:hAnsi="Arial" w:cs="Arial"/>
        </w:rPr>
        <w:t xml:space="preserve">Table </w:t>
      </w:r>
      <w:r w:rsidR="00EF5AB6" w:rsidRPr="00F306C5">
        <w:rPr>
          <w:rFonts w:ascii="Arial" w:hAnsi="Arial" w:cs="Arial"/>
        </w:rPr>
        <w:t xml:space="preserve">S </w:t>
      </w:r>
      <w:r w:rsidRPr="00F306C5">
        <w:rPr>
          <w:rFonts w:ascii="Arial" w:hAnsi="Arial" w:cs="Arial"/>
        </w:rPr>
        <w:t xml:space="preserve">2 - Quantitative analysis of color alterations in the PVC samples covered by NC films, showing both ΔRGB and </w:t>
      </w:r>
      <w:r w:rsidRPr="00231E3B">
        <w:rPr>
          <w:rFonts w:ascii="Arial" w:hAnsi="Arial" w:cs="Arial"/>
          <w:i/>
          <w:iCs/>
        </w:rPr>
        <w:t>ΔL*</w:t>
      </w:r>
      <w:r w:rsidRPr="00F306C5">
        <w:rPr>
          <w:rFonts w:ascii="Arial" w:hAnsi="Arial" w:cs="Arial"/>
        </w:rPr>
        <w:t xml:space="preserve"> after 1000 h of exposure to artificial sunlight.</w:t>
      </w:r>
    </w:p>
    <w:tbl>
      <w:tblPr>
        <w:tblStyle w:val="TableGrid"/>
        <w:tblW w:w="5348" w:type="pct"/>
        <w:tblInd w:w="-108" w:type="dxa"/>
        <w:tblBorders>
          <w:left w:val="none" w:sz="0" w:space="0" w:color="auto"/>
          <w:right w:val="none" w:sz="0" w:space="0" w:color="auto"/>
          <w:insideV w:val="none" w:sz="0" w:space="0" w:color="auto"/>
        </w:tblBorders>
        <w:tblLook w:val="04A0" w:firstRow="1" w:lastRow="0" w:firstColumn="1" w:lastColumn="0" w:noHBand="0" w:noVBand="1"/>
      </w:tblPr>
      <w:tblGrid>
        <w:gridCol w:w="1047"/>
        <w:gridCol w:w="863"/>
        <w:gridCol w:w="1183"/>
        <w:gridCol w:w="1436"/>
        <w:gridCol w:w="1757"/>
        <w:gridCol w:w="942"/>
        <w:gridCol w:w="1261"/>
      </w:tblGrid>
      <w:tr w:rsidR="00DE5608" w:rsidRPr="00F306C5" w14:paraId="04F1B3FD" w14:textId="77777777" w:rsidTr="00A17BEE">
        <w:trPr>
          <w:trHeight w:val="907"/>
        </w:trPr>
        <w:tc>
          <w:tcPr>
            <w:tcW w:w="616" w:type="pct"/>
            <w:vAlign w:val="center"/>
          </w:tcPr>
          <w:p w14:paraId="3194E8D9" w14:textId="77777777" w:rsidR="005570BF" w:rsidRPr="00F306C5" w:rsidRDefault="005570BF" w:rsidP="00A17BEE">
            <w:pPr>
              <w:spacing w:line="240" w:lineRule="auto"/>
              <w:ind w:firstLine="0"/>
              <w:rPr>
                <w:rFonts w:ascii="Arial" w:hAnsi="Arial" w:cs="Arial"/>
                <w:sz w:val="22"/>
                <w:szCs w:val="22"/>
                <w:lang w:eastAsia="en-US"/>
              </w:rPr>
            </w:pPr>
          </w:p>
        </w:tc>
        <w:tc>
          <w:tcPr>
            <w:tcW w:w="508" w:type="pct"/>
            <w:vAlign w:val="center"/>
          </w:tcPr>
          <w:p w14:paraId="38B5A433" w14:textId="77777777" w:rsidR="005570BF" w:rsidRPr="00F306C5" w:rsidRDefault="005570BF"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CNF</w:t>
            </w:r>
          </w:p>
        </w:tc>
        <w:tc>
          <w:tcPr>
            <w:tcW w:w="697" w:type="pct"/>
            <w:vAlign w:val="center"/>
          </w:tcPr>
          <w:p w14:paraId="2B690A6D" w14:textId="77777777" w:rsidR="005570BF" w:rsidRPr="00F306C5" w:rsidRDefault="005570BF"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TOCNF</w:t>
            </w:r>
          </w:p>
        </w:tc>
        <w:tc>
          <w:tcPr>
            <w:tcW w:w="846" w:type="pct"/>
            <w:vAlign w:val="center"/>
          </w:tcPr>
          <w:p w14:paraId="77C1BF87" w14:textId="77777777" w:rsidR="005570BF" w:rsidRPr="00F306C5" w:rsidRDefault="005570BF"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LignoCNF</w:t>
            </w:r>
          </w:p>
        </w:tc>
        <w:tc>
          <w:tcPr>
            <w:tcW w:w="1035" w:type="pct"/>
            <w:vAlign w:val="center"/>
          </w:tcPr>
          <w:p w14:paraId="5EDD8644" w14:textId="77777777" w:rsidR="005570BF" w:rsidRPr="00F306C5" w:rsidRDefault="005570BF"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LignoTOCNF</w:t>
            </w:r>
          </w:p>
        </w:tc>
        <w:tc>
          <w:tcPr>
            <w:tcW w:w="555" w:type="pct"/>
            <w:vAlign w:val="center"/>
          </w:tcPr>
          <w:p w14:paraId="7374D204" w14:textId="77777777" w:rsidR="005570BF" w:rsidRPr="00F306C5" w:rsidRDefault="005570BF"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CNF-LNP</w:t>
            </w:r>
          </w:p>
        </w:tc>
        <w:tc>
          <w:tcPr>
            <w:tcW w:w="744" w:type="pct"/>
            <w:vAlign w:val="center"/>
          </w:tcPr>
          <w:p w14:paraId="63A9D232" w14:textId="77777777" w:rsidR="005570BF" w:rsidRPr="00F306C5" w:rsidRDefault="005570BF"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TOCNF-LNP</w:t>
            </w:r>
          </w:p>
        </w:tc>
      </w:tr>
      <w:tr w:rsidR="00DE5608" w:rsidRPr="00F306C5" w14:paraId="0FAFC251" w14:textId="77777777" w:rsidTr="00A17BEE">
        <w:trPr>
          <w:trHeight w:val="907"/>
        </w:trPr>
        <w:tc>
          <w:tcPr>
            <w:tcW w:w="616" w:type="pct"/>
            <w:vAlign w:val="center"/>
          </w:tcPr>
          <w:p w14:paraId="4792B2FF" w14:textId="77777777" w:rsidR="005570BF" w:rsidRPr="00F306C5" w:rsidRDefault="005570BF"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ΔRGB</w:t>
            </w:r>
          </w:p>
        </w:tc>
        <w:tc>
          <w:tcPr>
            <w:tcW w:w="508" w:type="pct"/>
            <w:vAlign w:val="center"/>
          </w:tcPr>
          <w:p w14:paraId="61E9C26B" w14:textId="7767DE64" w:rsidR="005570BF" w:rsidRPr="00F306C5" w:rsidRDefault="003002DD"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64</w:t>
            </w:r>
            <w:r w:rsidR="005570BF" w:rsidRPr="00F306C5">
              <w:rPr>
                <w:rFonts w:ascii="Arial" w:hAnsi="Arial" w:cs="Arial"/>
                <w:sz w:val="22"/>
                <w:szCs w:val="22"/>
                <w:lang w:eastAsia="en-US"/>
              </w:rPr>
              <w:t xml:space="preserve"> ± </w:t>
            </w:r>
            <w:r w:rsidR="00921843" w:rsidRPr="00F306C5">
              <w:rPr>
                <w:rFonts w:ascii="Arial" w:hAnsi="Arial" w:cs="Arial"/>
                <w:sz w:val="22"/>
                <w:szCs w:val="22"/>
                <w:lang w:eastAsia="en-US"/>
              </w:rPr>
              <w:t>24</w:t>
            </w:r>
          </w:p>
        </w:tc>
        <w:tc>
          <w:tcPr>
            <w:tcW w:w="697" w:type="pct"/>
            <w:vAlign w:val="center"/>
          </w:tcPr>
          <w:p w14:paraId="5FD45E48" w14:textId="65E26ADF" w:rsidR="005570BF" w:rsidRPr="00F306C5" w:rsidRDefault="00921843"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81.3</w:t>
            </w:r>
            <w:r w:rsidR="005570BF" w:rsidRPr="00F306C5">
              <w:rPr>
                <w:rFonts w:ascii="Arial" w:hAnsi="Arial" w:cs="Arial"/>
                <w:sz w:val="22"/>
                <w:szCs w:val="22"/>
                <w:lang w:eastAsia="en-US"/>
              </w:rPr>
              <w:t xml:space="preserve"> ± </w:t>
            </w:r>
            <w:r w:rsidRPr="00F306C5">
              <w:rPr>
                <w:rFonts w:ascii="Arial" w:hAnsi="Arial" w:cs="Arial"/>
                <w:sz w:val="22"/>
                <w:szCs w:val="22"/>
                <w:lang w:eastAsia="en-US"/>
              </w:rPr>
              <w:t>6.1</w:t>
            </w:r>
          </w:p>
        </w:tc>
        <w:tc>
          <w:tcPr>
            <w:tcW w:w="846" w:type="pct"/>
            <w:vAlign w:val="center"/>
          </w:tcPr>
          <w:p w14:paraId="7131E112" w14:textId="2223645B" w:rsidR="005570BF" w:rsidRPr="00F306C5" w:rsidRDefault="00AF678A"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9.1</w:t>
            </w:r>
            <w:r w:rsidR="005570BF" w:rsidRPr="00F306C5">
              <w:rPr>
                <w:rFonts w:ascii="Arial" w:hAnsi="Arial" w:cs="Arial"/>
                <w:sz w:val="22"/>
                <w:szCs w:val="22"/>
                <w:lang w:eastAsia="en-US"/>
              </w:rPr>
              <w:t xml:space="preserve"> ± </w:t>
            </w:r>
            <w:r w:rsidRPr="00F306C5">
              <w:rPr>
                <w:rFonts w:ascii="Arial" w:hAnsi="Arial" w:cs="Arial"/>
                <w:sz w:val="22"/>
                <w:szCs w:val="22"/>
                <w:lang w:eastAsia="en-US"/>
              </w:rPr>
              <w:t>7.7</w:t>
            </w:r>
          </w:p>
        </w:tc>
        <w:tc>
          <w:tcPr>
            <w:tcW w:w="1035" w:type="pct"/>
            <w:vAlign w:val="center"/>
          </w:tcPr>
          <w:p w14:paraId="2194657A" w14:textId="765E6048" w:rsidR="005570BF" w:rsidRPr="00F306C5" w:rsidRDefault="005076C8"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8.9</w:t>
            </w:r>
            <w:r w:rsidR="005570BF" w:rsidRPr="00F306C5">
              <w:rPr>
                <w:rFonts w:ascii="Arial" w:hAnsi="Arial" w:cs="Arial"/>
                <w:sz w:val="22"/>
                <w:szCs w:val="22"/>
                <w:lang w:eastAsia="en-US"/>
              </w:rPr>
              <w:t xml:space="preserve"> ± </w:t>
            </w:r>
            <w:r w:rsidRPr="00F306C5">
              <w:rPr>
                <w:rFonts w:ascii="Arial" w:hAnsi="Arial" w:cs="Arial"/>
                <w:sz w:val="22"/>
                <w:szCs w:val="22"/>
                <w:lang w:eastAsia="en-US"/>
              </w:rPr>
              <w:t>4.6</w:t>
            </w:r>
          </w:p>
        </w:tc>
        <w:tc>
          <w:tcPr>
            <w:tcW w:w="555" w:type="pct"/>
            <w:vAlign w:val="center"/>
          </w:tcPr>
          <w:p w14:paraId="5505CF90" w14:textId="1E13F665" w:rsidR="005570BF" w:rsidRPr="00F306C5" w:rsidRDefault="005076C8"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11.7</w:t>
            </w:r>
            <w:r w:rsidR="005570BF" w:rsidRPr="00F306C5">
              <w:rPr>
                <w:rFonts w:ascii="Arial" w:hAnsi="Arial" w:cs="Arial"/>
                <w:sz w:val="22"/>
                <w:szCs w:val="22"/>
                <w:lang w:eastAsia="en-US"/>
              </w:rPr>
              <w:t xml:space="preserve"> ± </w:t>
            </w:r>
            <w:r w:rsidR="00911103" w:rsidRPr="00F306C5">
              <w:rPr>
                <w:rFonts w:ascii="Arial" w:hAnsi="Arial" w:cs="Arial"/>
                <w:sz w:val="22"/>
                <w:szCs w:val="22"/>
                <w:lang w:eastAsia="en-US"/>
              </w:rPr>
              <w:t>6.5</w:t>
            </w:r>
          </w:p>
        </w:tc>
        <w:tc>
          <w:tcPr>
            <w:tcW w:w="744" w:type="pct"/>
            <w:vAlign w:val="center"/>
          </w:tcPr>
          <w:p w14:paraId="5AF8A3C6" w14:textId="0897E09C" w:rsidR="005570BF" w:rsidRPr="00F306C5" w:rsidRDefault="005570BF"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1</w:t>
            </w:r>
            <w:r w:rsidR="00911103" w:rsidRPr="00F306C5">
              <w:rPr>
                <w:rFonts w:ascii="Arial" w:hAnsi="Arial" w:cs="Arial"/>
                <w:sz w:val="22"/>
                <w:szCs w:val="22"/>
                <w:lang w:eastAsia="en-US"/>
              </w:rPr>
              <w:t>2</w:t>
            </w:r>
            <w:r w:rsidRPr="00F306C5">
              <w:rPr>
                <w:rFonts w:ascii="Arial" w:hAnsi="Arial" w:cs="Arial"/>
                <w:sz w:val="22"/>
                <w:szCs w:val="22"/>
                <w:lang w:eastAsia="en-US"/>
              </w:rPr>
              <w:t xml:space="preserve"> ± </w:t>
            </w:r>
            <w:r w:rsidR="00911103" w:rsidRPr="00F306C5">
              <w:rPr>
                <w:rFonts w:ascii="Arial" w:hAnsi="Arial" w:cs="Arial"/>
                <w:sz w:val="22"/>
                <w:szCs w:val="22"/>
                <w:lang w:eastAsia="en-US"/>
              </w:rPr>
              <w:t>7.8</w:t>
            </w:r>
          </w:p>
        </w:tc>
      </w:tr>
      <w:tr w:rsidR="00DE5608" w:rsidRPr="00F306C5" w14:paraId="28290C49" w14:textId="77777777" w:rsidTr="00A17BEE">
        <w:trPr>
          <w:trHeight w:val="907"/>
        </w:trPr>
        <w:tc>
          <w:tcPr>
            <w:tcW w:w="616" w:type="pct"/>
            <w:vAlign w:val="center"/>
          </w:tcPr>
          <w:p w14:paraId="64BE59AB" w14:textId="77777777" w:rsidR="005570BF" w:rsidRPr="00F306C5" w:rsidRDefault="005570BF" w:rsidP="00A17BEE">
            <w:pPr>
              <w:spacing w:line="240" w:lineRule="auto"/>
              <w:ind w:firstLine="0"/>
              <w:rPr>
                <w:rFonts w:ascii="Arial" w:hAnsi="Arial" w:cs="Arial"/>
                <w:i/>
                <w:iCs/>
                <w:sz w:val="22"/>
                <w:szCs w:val="22"/>
                <w:lang w:eastAsia="en-US"/>
              </w:rPr>
            </w:pPr>
            <w:r w:rsidRPr="00F306C5">
              <w:rPr>
                <w:rFonts w:ascii="Arial" w:hAnsi="Arial" w:cs="Arial"/>
                <w:i/>
                <w:iCs/>
                <w:sz w:val="22"/>
                <w:szCs w:val="22"/>
                <w:lang w:eastAsia="en-US"/>
              </w:rPr>
              <w:t>ΔL*</w:t>
            </w:r>
          </w:p>
        </w:tc>
        <w:tc>
          <w:tcPr>
            <w:tcW w:w="508" w:type="pct"/>
            <w:vAlign w:val="center"/>
          </w:tcPr>
          <w:p w14:paraId="7582D075" w14:textId="2D0DFEFC" w:rsidR="005570BF" w:rsidRPr="00F306C5" w:rsidRDefault="00921843"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-7</w:t>
            </w:r>
            <w:r w:rsidR="005570BF" w:rsidRPr="00F306C5">
              <w:rPr>
                <w:rFonts w:ascii="Arial" w:hAnsi="Arial" w:cs="Arial"/>
                <w:sz w:val="22"/>
                <w:szCs w:val="22"/>
                <w:lang w:eastAsia="en-US"/>
              </w:rPr>
              <w:t xml:space="preserve"> ±</w:t>
            </w:r>
            <w:r w:rsidRPr="00F306C5">
              <w:rPr>
                <w:rFonts w:ascii="Arial" w:hAnsi="Arial" w:cs="Arial"/>
                <w:sz w:val="22"/>
                <w:szCs w:val="22"/>
                <w:lang w:eastAsia="en-US"/>
              </w:rPr>
              <w:t>2</w:t>
            </w:r>
            <w:r w:rsidR="005570BF" w:rsidRPr="00F306C5">
              <w:rPr>
                <w:rFonts w:ascii="Arial" w:hAnsi="Arial" w:cs="Arial"/>
                <w:sz w:val="22"/>
                <w:szCs w:val="22"/>
                <w:lang w:eastAsia="en-US"/>
              </w:rPr>
              <w:t>.</w:t>
            </w:r>
            <w:r w:rsidRPr="00F306C5">
              <w:rPr>
                <w:rFonts w:ascii="Arial" w:hAnsi="Arial" w:cs="Arial"/>
                <w:sz w:val="22"/>
                <w:szCs w:val="22"/>
                <w:lang w:eastAsia="en-US"/>
              </w:rPr>
              <w:t>9</w:t>
            </w:r>
          </w:p>
        </w:tc>
        <w:tc>
          <w:tcPr>
            <w:tcW w:w="697" w:type="pct"/>
            <w:vAlign w:val="center"/>
          </w:tcPr>
          <w:p w14:paraId="36840274" w14:textId="511F0B21" w:rsidR="005570BF" w:rsidRPr="00F306C5" w:rsidRDefault="005570BF"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w:t>
            </w:r>
            <w:r w:rsidR="00921843" w:rsidRPr="00F306C5">
              <w:rPr>
                <w:rFonts w:ascii="Arial" w:hAnsi="Arial" w:cs="Arial"/>
                <w:sz w:val="22"/>
                <w:szCs w:val="22"/>
                <w:lang w:eastAsia="en-US"/>
              </w:rPr>
              <w:t>9.5</w:t>
            </w:r>
            <w:r w:rsidRPr="00F306C5">
              <w:rPr>
                <w:rFonts w:ascii="Arial" w:hAnsi="Arial" w:cs="Arial"/>
                <w:sz w:val="22"/>
                <w:szCs w:val="22"/>
                <w:lang w:eastAsia="en-US"/>
              </w:rPr>
              <w:t xml:space="preserve"> ±</w:t>
            </w:r>
            <w:r w:rsidR="00AF678A" w:rsidRPr="00F306C5">
              <w:rPr>
                <w:rFonts w:ascii="Arial" w:hAnsi="Arial" w:cs="Arial"/>
                <w:sz w:val="22"/>
                <w:szCs w:val="22"/>
                <w:lang w:eastAsia="en-US"/>
              </w:rPr>
              <w:t xml:space="preserve"> 1</w:t>
            </w:r>
            <w:r w:rsidRPr="00F306C5">
              <w:rPr>
                <w:rFonts w:ascii="Arial" w:hAnsi="Arial" w:cs="Arial"/>
                <w:sz w:val="22"/>
                <w:szCs w:val="22"/>
                <w:lang w:eastAsia="en-US"/>
              </w:rPr>
              <w:t>.8</w:t>
            </w:r>
          </w:p>
        </w:tc>
        <w:tc>
          <w:tcPr>
            <w:tcW w:w="846" w:type="pct"/>
            <w:vAlign w:val="center"/>
          </w:tcPr>
          <w:p w14:paraId="015EEFFD" w14:textId="7DC6313E" w:rsidR="005570BF" w:rsidRPr="00F306C5" w:rsidRDefault="00AF678A"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-1.1</w:t>
            </w:r>
            <w:r w:rsidR="005570BF" w:rsidRPr="00F306C5">
              <w:rPr>
                <w:rFonts w:ascii="Arial" w:hAnsi="Arial" w:cs="Arial"/>
                <w:sz w:val="22"/>
                <w:szCs w:val="22"/>
                <w:lang w:eastAsia="en-US"/>
              </w:rPr>
              <w:t xml:space="preserve"> ± </w:t>
            </w:r>
            <w:r w:rsidRPr="00F306C5">
              <w:rPr>
                <w:rFonts w:ascii="Arial" w:hAnsi="Arial" w:cs="Arial"/>
                <w:sz w:val="22"/>
                <w:szCs w:val="22"/>
                <w:lang w:eastAsia="en-US"/>
              </w:rPr>
              <w:t>1.2</w:t>
            </w:r>
          </w:p>
        </w:tc>
        <w:tc>
          <w:tcPr>
            <w:tcW w:w="1035" w:type="pct"/>
            <w:vAlign w:val="center"/>
          </w:tcPr>
          <w:p w14:paraId="32297A34" w14:textId="61522D90" w:rsidR="005570BF" w:rsidRPr="00F306C5" w:rsidRDefault="005570BF"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-1.</w:t>
            </w:r>
            <w:r w:rsidR="005076C8" w:rsidRPr="00F306C5">
              <w:rPr>
                <w:rFonts w:ascii="Arial" w:hAnsi="Arial" w:cs="Arial"/>
                <w:sz w:val="22"/>
                <w:szCs w:val="22"/>
                <w:lang w:eastAsia="en-US"/>
              </w:rPr>
              <w:t>1</w:t>
            </w:r>
            <w:r w:rsidRPr="00F306C5">
              <w:rPr>
                <w:rFonts w:ascii="Arial" w:hAnsi="Arial" w:cs="Arial"/>
                <w:sz w:val="22"/>
                <w:szCs w:val="22"/>
                <w:lang w:eastAsia="en-US"/>
              </w:rPr>
              <w:t xml:space="preserve"> ± 0.</w:t>
            </w:r>
            <w:r w:rsidR="005076C8" w:rsidRPr="00F306C5">
              <w:rPr>
                <w:rFonts w:ascii="Arial" w:hAnsi="Arial" w:cs="Arial"/>
                <w:sz w:val="22"/>
                <w:szCs w:val="22"/>
                <w:lang w:eastAsia="en-US"/>
              </w:rPr>
              <w:t>9</w:t>
            </w:r>
          </w:p>
        </w:tc>
        <w:tc>
          <w:tcPr>
            <w:tcW w:w="555" w:type="pct"/>
            <w:vAlign w:val="center"/>
          </w:tcPr>
          <w:p w14:paraId="7C41E6B1" w14:textId="1C405906" w:rsidR="005570BF" w:rsidRPr="00F306C5" w:rsidRDefault="005076C8"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-1.4</w:t>
            </w:r>
            <w:r w:rsidR="005570BF" w:rsidRPr="00F306C5">
              <w:rPr>
                <w:rFonts w:ascii="Arial" w:hAnsi="Arial" w:cs="Arial"/>
                <w:sz w:val="22"/>
                <w:szCs w:val="22"/>
                <w:lang w:eastAsia="en-US"/>
              </w:rPr>
              <w:t xml:space="preserve"> ± 0.</w:t>
            </w:r>
            <w:r w:rsidR="00911103" w:rsidRPr="00F306C5">
              <w:rPr>
                <w:rFonts w:ascii="Arial" w:hAnsi="Arial" w:cs="Arial"/>
                <w:sz w:val="22"/>
                <w:szCs w:val="22"/>
                <w:lang w:eastAsia="en-US"/>
              </w:rPr>
              <w:t>8</w:t>
            </w:r>
          </w:p>
        </w:tc>
        <w:tc>
          <w:tcPr>
            <w:tcW w:w="744" w:type="pct"/>
            <w:vAlign w:val="center"/>
          </w:tcPr>
          <w:p w14:paraId="073C1CC9" w14:textId="483655C7" w:rsidR="005570BF" w:rsidRPr="00F306C5" w:rsidRDefault="00911103" w:rsidP="00A17BEE">
            <w:pPr>
              <w:spacing w:line="240" w:lineRule="auto"/>
              <w:ind w:firstLine="0"/>
              <w:rPr>
                <w:rFonts w:ascii="Arial" w:hAnsi="Arial" w:cs="Arial"/>
                <w:sz w:val="22"/>
                <w:szCs w:val="22"/>
                <w:lang w:eastAsia="en-US"/>
              </w:rPr>
            </w:pPr>
            <w:r w:rsidRPr="00F306C5">
              <w:rPr>
                <w:rFonts w:ascii="Arial" w:hAnsi="Arial" w:cs="Arial"/>
                <w:sz w:val="22"/>
                <w:szCs w:val="22"/>
                <w:lang w:eastAsia="en-US"/>
              </w:rPr>
              <w:t xml:space="preserve">-1.4 </w:t>
            </w:r>
            <w:r w:rsidR="005570BF" w:rsidRPr="00F306C5">
              <w:rPr>
                <w:rFonts w:ascii="Arial" w:hAnsi="Arial" w:cs="Arial"/>
                <w:sz w:val="22"/>
                <w:szCs w:val="22"/>
                <w:lang w:eastAsia="en-US"/>
              </w:rPr>
              <w:t xml:space="preserve">± </w:t>
            </w:r>
            <w:r w:rsidRPr="00F306C5">
              <w:rPr>
                <w:rFonts w:ascii="Arial" w:hAnsi="Arial" w:cs="Arial"/>
                <w:sz w:val="22"/>
                <w:szCs w:val="22"/>
                <w:lang w:eastAsia="en-US"/>
              </w:rPr>
              <w:t>1</w:t>
            </w:r>
            <w:r w:rsidR="005570BF" w:rsidRPr="00F306C5">
              <w:rPr>
                <w:rFonts w:ascii="Arial" w:hAnsi="Arial" w:cs="Arial"/>
                <w:sz w:val="22"/>
                <w:szCs w:val="22"/>
                <w:lang w:eastAsia="en-US"/>
              </w:rPr>
              <w:t>.</w:t>
            </w:r>
            <w:r w:rsidRPr="00F306C5">
              <w:rPr>
                <w:rFonts w:ascii="Arial" w:hAnsi="Arial" w:cs="Arial"/>
                <w:sz w:val="22"/>
                <w:szCs w:val="22"/>
                <w:lang w:eastAsia="en-US"/>
              </w:rPr>
              <w:t>1</w:t>
            </w:r>
          </w:p>
        </w:tc>
      </w:tr>
    </w:tbl>
    <w:p w14:paraId="281E072E" w14:textId="132B92EE" w:rsidR="005570BF" w:rsidRPr="00F306C5" w:rsidRDefault="005570BF" w:rsidP="00A17BEE">
      <w:pPr>
        <w:spacing w:line="240" w:lineRule="auto"/>
        <w:ind w:firstLine="0"/>
        <w:jc w:val="left"/>
        <w:rPr>
          <w:rFonts w:ascii="Arial" w:eastAsiaTheme="minorEastAsia" w:hAnsi="Arial" w:cs="Arial"/>
          <w:bCs/>
          <w:color w:val="000000" w:themeColor="text1"/>
        </w:rPr>
      </w:pPr>
    </w:p>
    <w:p w14:paraId="29A99D92" w14:textId="34245DA3" w:rsidR="002D4AB2" w:rsidRPr="00F306C5" w:rsidRDefault="002D4AB2" w:rsidP="00A17BEE">
      <w:pPr>
        <w:spacing w:line="240" w:lineRule="auto"/>
        <w:ind w:firstLine="0"/>
        <w:jc w:val="left"/>
        <w:rPr>
          <w:rFonts w:ascii="Arial" w:hAnsi="Arial" w:cs="Arial"/>
          <w:i/>
          <w:iCs/>
        </w:rPr>
      </w:pPr>
    </w:p>
    <w:p w14:paraId="19D8D3BE" w14:textId="77777777" w:rsidR="00EB187A" w:rsidRPr="00F306C5" w:rsidRDefault="00A6489C" w:rsidP="00A17BEE">
      <w:pPr>
        <w:keepNext/>
        <w:spacing w:line="240" w:lineRule="auto"/>
        <w:ind w:firstLine="0"/>
        <w:jc w:val="left"/>
        <w:rPr>
          <w:rFonts w:ascii="Arial" w:hAnsi="Arial" w:cs="Arial"/>
        </w:rPr>
      </w:pPr>
      <w:r w:rsidRPr="00F306C5">
        <w:rPr>
          <w:rFonts w:ascii="Arial" w:hAnsi="Arial" w:cs="Arial"/>
          <w:noProof/>
        </w:rPr>
        <w:drawing>
          <wp:inline distT="0" distB="0" distL="0" distR="0" wp14:anchorId="51A38145" wp14:editId="460FA6C9">
            <wp:extent cx="5040000" cy="3856994"/>
            <wp:effectExtent l="0" t="0" r="1905" b="3810"/>
            <wp:docPr id="747432476" name="Picture 3"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432476" name="Picture 3" descr="A graph of different colored lin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40000" cy="3856994"/>
                    </a:xfrm>
                    <a:prstGeom prst="rect">
                      <a:avLst/>
                    </a:prstGeom>
                    <a:noFill/>
                    <a:ln>
                      <a:noFill/>
                    </a:ln>
                  </pic:spPr>
                </pic:pic>
              </a:graphicData>
            </a:graphic>
          </wp:inline>
        </w:drawing>
      </w:r>
    </w:p>
    <w:p w14:paraId="03A4B680" w14:textId="348A3725" w:rsidR="00222AB6" w:rsidRPr="00F306C5" w:rsidRDefault="00EB187A" w:rsidP="00A17BEE">
      <w:pPr>
        <w:pStyle w:val="Caption"/>
        <w:spacing w:after="0"/>
        <w:ind w:firstLine="0"/>
        <w:rPr>
          <w:rFonts w:ascii="Arial" w:hAnsi="Arial" w:cs="Arial"/>
          <w:i w:val="0"/>
          <w:iCs w:val="0"/>
          <w:sz w:val="20"/>
          <w:szCs w:val="20"/>
        </w:rPr>
      </w:pPr>
      <w:r w:rsidRPr="00F306C5">
        <w:rPr>
          <w:rFonts w:ascii="Arial" w:hAnsi="Arial" w:cs="Arial"/>
          <w:b/>
          <w:bCs/>
          <w:i w:val="0"/>
          <w:iCs w:val="0"/>
          <w:sz w:val="20"/>
          <w:szCs w:val="20"/>
        </w:rPr>
        <w:t xml:space="preserve">Figure S </w:t>
      </w:r>
      <w:r w:rsidRPr="00F306C5">
        <w:rPr>
          <w:rFonts w:ascii="Arial" w:hAnsi="Arial" w:cs="Arial"/>
          <w:b/>
          <w:bCs/>
          <w:i w:val="0"/>
          <w:iCs w:val="0"/>
          <w:sz w:val="20"/>
          <w:szCs w:val="20"/>
        </w:rPr>
        <w:fldChar w:fldCharType="begin"/>
      </w:r>
      <w:r w:rsidRPr="00F306C5">
        <w:rPr>
          <w:rFonts w:ascii="Arial" w:hAnsi="Arial" w:cs="Arial"/>
          <w:b/>
          <w:bCs/>
          <w:i w:val="0"/>
          <w:iCs w:val="0"/>
          <w:sz w:val="20"/>
          <w:szCs w:val="20"/>
        </w:rPr>
        <w:instrText xml:space="preserve"> SEQ Figure_S \* ARABIC </w:instrText>
      </w:r>
      <w:r w:rsidRPr="00F306C5">
        <w:rPr>
          <w:rFonts w:ascii="Arial" w:hAnsi="Arial" w:cs="Arial"/>
          <w:b/>
          <w:bCs/>
          <w:i w:val="0"/>
          <w:iCs w:val="0"/>
          <w:sz w:val="20"/>
          <w:szCs w:val="20"/>
        </w:rPr>
        <w:fldChar w:fldCharType="separate"/>
      </w:r>
      <w:r w:rsidR="00B26129" w:rsidRPr="00F306C5">
        <w:rPr>
          <w:rFonts w:ascii="Arial" w:hAnsi="Arial" w:cs="Arial"/>
          <w:b/>
          <w:bCs/>
          <w:i w:val="0"/>
          <w:iCs w:val="0"/>
          <w:noProof/>
          <w:sz w:val="20"/>
          <w:szCs w:val="20"/>
        </w:rPr>
        <w:t>2</w:t>
      </w:r>
      <w:r w:rsidRPr="00F306C5">
        <w:rPr>
          <w:rFonts w:ascii="Arial" w:hAnsi="Arial" w:cs="Arial"/>
          <w:b/>
          <w:bCs/>
          <w:i w:val="0"/>
          <w:iCs w:val="0"/>
          <w:sz w:val="20"/>
          <w:szCs w:val="20"/>
        </w:rPr>
        <w:fldChar w:fldCharType="end"/>
      </w:r>
      <w:r w:rsidRPr="00F306C5">
        <w:rPr>
          <w:rFonts w:ascii="Arial" w:hAnsi="Arial" w:cs="Arial"/>
          <w:b/>
          <w:bCs/>
          <w:i w:val="0"/>
          <w:iCs w:val="0"/>
          <w:sz w:val="20"/>
          <w:szCs w:val="20"/>
        </w:rPr>
        <w:t xml:space="preserve"> </w:t>
      </w:r>
      <w:r w:rsidRPr="00F306C5">
        <w:rPr>
          <w:rFonts w:ascii="Arial" w:hAnsi="Arial" w:cs="Arial"/>
          <w:b/>
          <w:bCs/>
          <w:i w:val="0"/>
          <w:iCs w:val="0"/>
          <w:color w:val="auto"/>
          <w:sz w:val="20"/>
          <w:szCs w:val="20"/>
        </w:rPr>
        <w:t>-</w:t>
      </w:r>
      <w:r w:rsidR="00222AB6" w:rsidRPr="00F306C5">
        <w:rPr>
          <w:rFonts w:ascii="Arial" w:hAnsi="Arial" w:cs="Arial"/>
          <w:i w:val="0"/>
          <w:iCs w:val="0"/>
          <w:sz w:val="20"/>
          <w:szCs w:val="20"/>
        </w:rPr>
        <w:t xml:space="preserve"> </w:t>
      </w:r>
      <w:r w:rsidR="00574922" w:rsidRPr="00F306C5">
        <w:rPr>
          <w:rFonts w:ascii="Arial" w:hAnsi="Arial" w:cs="Arial"/>
          <w:i w:val="0"/>
          <w:iCs w:val="0"/>
          <w:sz w:val="20"/>
          <w:szCs w:val="20"/>
        </w:rPr>
        <w:t>C</w:t>
      </w:r>
      <w:r w:rsidR="00EA2334" w:rsidRPr="00F306C5">
        <w:rPr>
          <w:rFonts w:ascii="Arial" w:hAnsi="Arial" w:cs="Arial"/>
          <w:i w:val="0"/>
          <w:iCs w:val="0"/>
          <w:sz w:val="20"/>
          <w:szCs w:val="20"/>
        </w:rPr>
        <w:t xml:space="preserve">hanges in CIELAB color values for PVC plastic samples covered by various nanocellulose (NC) films before and after 1000 hours of exposure to artificial sunlight. The </w:t>
      </w:r>
      <w:r w:rsidR="00EA2334" w:rsidRPr="00F306C5">
        <w:rPr>
          <w:rFonts w:ascii="Arial" w:hAnsi="Arial" w:cs="Arial"/>
          <w:i w:val="0"/>
          <w:iCs w:val="0"/>
          <w:sz w:val="20"/>
          <w:szCs w:val="20"/>
        </w:rPr>
        <w:lastRenderedPageBreak/>
        <w:t>data is represented for different NC films: CNF, TOCNF, LignoCNF, LignoTOCNF, CNF-LNP, and TOCNF-LNP. The bar graph shows the CIELAB values for L*</w:t>
      </w:r>
      <w:r w:rsidR="00E870F7" w:rsidRPr="00F306C5">
        <w:rPr>
          <w:rFonts w:ascii="Arial" w:hAnsi="Arial" w:cs="Arial"/>
          <w:i w:val="0"/>
          <w:iCs w:val="0"/>
          <w:sz w:val="20"/>
          <w:szCs w:val="20"/>
        </w:rPr>
        <w:t xml:space="preserve"> (gray)</w:t>
      </w:r>
      <w:r w:rsidR="00EA2334" w:rsidRPr="00F306C5">
        <w:rPr>
          <w:rFonts w:ascii="Arial" w:hAnsi="Arial" w:cs="Arial"/>
          <w:i w:val="0"/>
          <w:iCs w:val="0"/>
          <w:sz w:val="20"/>
          <w:szCs w:val="20"/>
        </w:rPr>
        <w:t>, a* (</w:t>
      </w:r>
      <w:r w:rsidR="00E870F7" w:rsidRPr="00F306C5">
        <w:rPr>
          <w:rFonts w:ascii="Arial" w:hAnsi="Arial" w:cs="Arial"/>
          <w:i w:val="0"/>
          <w:iCs w:val="0"/>
          <w:sz w:val="20"/>
          <w:szCs w:val="20"/>
        </w:rPr>
        <w:t>red</w:t>
      </w:r>
      <w:r w:rsidR="00EA2334" w:rsidRPr="00F306C5">
        <w:rPr>
          <w:rFonts w:ascii="Arial" w:hAnsi="Arial" w:cs="Arial"/>
          <w:i w:val="0"/>
          <w:iCs w:val="0"/>
          <w:sz w:val="20"/>
          <w:szCs w:val="20"/>
        </w:rPr>
        <w:t>), and b* (</w:t>
      </w:r>
      <w:r w:rsidR="00E870F7" w:rsidRPr="00F306C5">
        <w:rPr>
          <w:rFonts w:ascii="Arial" w:hAnsi="Arial" w:cs="Arial"/>
          <w:i w:val="0"/>
          <w:iCs w:val="0"/>
          <w:sz w:val="20"/>
          <w:szCs w:val="20"/>
        </w:rPr>
        <w:t>green</w:t>
      </w:r>
      <w:r w:rsidR="00EA2334" w:rsidRPr="00F306C5">
        <w:rPr>
          <w:rFonts w:ascii="Arial" w:hAnsi="Arial" w:cs="Arial"/>
          <w:i w:val="0"/>
          <w:iCs w:val="0"/>
          <w:sz w:val="20"/>
          <w:szCs w:val="20"/>
        </w:rPr>
        <w:t xml:space="preserve">) for each sample. The initial values are solid bars, while the final values after exposure are hatched bars. Error bars represent the standard deviation across three distinct regions of each sample, providing insight into the uniformity of color changes. </w:t>
      </w:r>
    </w:p>
    <w:p w14:paraId="7349B7EB" w14:textId="77777777" w:rsidR="005570BF" w:rsidRPr="00F306C5" w:rsidRDefault="005570BF" w:rsidP="00A17BEE">
      <w:pPr>
        <w:spacing w:line="240" w:lineRule="auto"/>
        <w:ind w:firstLine="0"/>
        <w:jc w:val="left"/>
        <w:rPr>
          <w:rFonts w:ascii="Arial" w:eastAsiaTheme="minorEastAsia" w:hAnsi="Arial" w:cs="Arial"/>
          <w:bCs/>
          <w:color w:val="000000" w:themeColor="text1"/>
        </w:rPr>
      </w:pPr>
    </w:p>
    <w:p w14:paraId="724D514B" w14:textId="77777777" w:rsidR="00B26129" w:rsidRPr="00F306C5" w:rsidRDefault="007F2E29" w:rsidP="00A17BEE">
      <w:pPr>
        <w:keepNext/>
        <w:spacing w:line="240" w:lineRule="auto"/>
        <w:ind w:firstLine="0"/>
        <w:jc w:val="left"/>
        <w:rPr>
          <w:rFonts w:ascii="Arial" w:hAnsi="Arial" w:cs="Arial"/>
        </w:rPr>
      </w:pPr>
      <w:r w:rsidRPr="00F306C5">
        <w:rPr>
          <w:rFonts w:ascii="Arial" w:hAnsi="Arial" w:cs="Arial"/>
          <w:bCs/>
          <w:noProof/>
          <w:color w:val="000000" w:themeColor="text1"/>
        </w:rPr>
        <w:drawing>
          <wp:inline distT="0" distB="0" distL="0" distR="0" wp14:anchorId="5E84111F" wp14:editId="46ACAF71">
            <wp:extent cx="5040000" cy="5929313"/>
            <wp:effectExtent l="0" t="0" r="0" b="0"/>
            <wp:docPr id="151208953"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08953" name="Picture 2" descr="A screenshot of a computer screen&#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40000" cy="5929313"/>
                    </a:xfrm>
                    <a:prstGeom prst="rect">
                      <a:avLst/>
                    </a:prstGeom>
                    <a:noFill/>
                  </pic:spPr>
                </pic:pic>
              </a:graphicData>
            </a:graphic>
          </wp:inline>
        </w:drawing>
      </w:r>
    </w:p>
    <w:p w14:paraId="775DB853" w14:textId="570F9505" w:rsidR="007F2E29" w:rsidRPr="00F306C5" w:rsidRDefault="00B26129" w:rsidP="00A17BEE">
      <w:pPr>
        <w:pStyle w:val="Caption"/>
        <w:spacing w:after="0"/>
        <w:ind w:firstLine="0"/>
        <w:jc w:val="left"/>
        <w:rPr>
          <w:rFonts w:ascii="Arial" w:hAnsi="Arial" w:cs="Arial"/>
          <w:i w:val="0"/>
          <w:iCs w:val="0"/>
          <w:sz w:val="20"/>
          <w:szCs w:val="20"/>
        </w:rPr>
      </w:pPr>
      <w:r w:rsidRPr="00F306C5">
        <w:rPr>
          <w:rFonts w:ascii="Arial" w:hAnsi="Arial" w:cs="Arial"/>
          <w:b/>
          <w:bCs/>
          <w:i w:val="0"/>
          <w:iCs w:val="0"/>
          <w:sz w:val="20"/>
          <w:szCs w:val="20"/>
        </w:rPr>
        <w:t xml:space="preserve">Figure S </w:t>
      </w:r>
      <w:r w:rsidRPr="00F306C5">
        <w:rPr>
          <w:rFonts w:ascii="Arial" w:hAnsi="Arial" w:cs="Arial"/>
          <w:b/>
          <w:bCs/>
          <w:i w:val="0"/>
          <w:iCs w:val="0"/>
          <w:sz w:val="20"/>
          <w:szCs w:val="20"/>
        </w:rPr>
        <w:fldChar w:fldCharType="begin"/>
      </w:r>
      <w:r w:rsidRPr="00F306C5">
        <w:rPr>
          <w:rFonts w:ascii="Arial" w:hAnsi="Arial" w:cs="Arial"/>
          <w:b/>
          <w:bCs/>
          <w:i w:val="0"/>
          <w:iCs w:val="0"/>
          <w:sz w:val="20"/>
          <w:szCs w:val="20"/>
        </w:rPr>
        <w:instrText xml:space="preserve"> SEQ Figure_S \* ARABIC </w:instrText>
      </w:r>
      <w:r w:rsidRPr="00F306C5">
        <w:rPr>
          <w:rFonts w:ascii="Arial" w:hAnsi="Arial" w:cs="Arial"/>
          <w:b/>
          <w:bCs/>
          <w:i w:val="0"/>
          <w:iCs w:val="0"/>
          <w:sz w:val="20"/>
          <w:szCs w:val="20"/>
        </w:rPr>
        <w:fldChar w:fldCharType="separate"/>
      </w:r>
      <w:r w:rsidRPr="00F306C5">
        <w:rPr>
          <w:rFonts w:ascii="Arial" w:hAnsi="Arial" w:cs="Arial"/>
          <w:b/>
          <w:bCs/>
          <w:i w:val="0"/>
          <w:iCs w:val="0"/>
          <w:noProof/>
          <w:sz w:val="20"/>
          <w:szCs w:val="20"/>
        </w:rPr>
        <w:t>3</w:t>
      </w:r>
      <w:r w:rsidRPr="00F306C5">
        <w:rPr>
          <w:rFonts w:ascii="Arial" w:hAnsi="Arial" w:cs="Arial"/>
          <w:b/>
          <w:bCs/>
          <w:i w:val="0"/>
          <w:iCs w:val="0"/>
          <w:sz w:val="20"/>
          <w:szCs w:val="20"/>
        </w:rPr>
        <w:fldChar w:fldCharType="end"/>
      </w:r>
      <w:r w:rsidRPr="00F306C5">
        <w:rPr>
          <w:rFonts w:ascii="Arial" w:hAnsi="Arial" w:cs="Arial"/>
          <w:b/>
          <w:bCs/>
          <w:i w:val="0"/>
          <w:iCs w:val="0"/>
          <w:sz w:val="20"/>
          <w:szCs w:val="20"/>
        </w:rPr>
        <w:t xml:space="preserve"> -</w:t>
      </w:r>
      <w:r w:rsidRPr="00F306C5">
        <w:rPr>
          <w:rFonts w:ascii="Arial" w:hAnsi="Arial" w:cs="Arial"/>
          <w:i w:val="0"/>
          <w:iCs w:val="0"/>
          <w:sz w:val="20"/>
          <w:szCs w:val="20"/>
        </w:rPr>
        <w:t xml:space="preserve"> </w:t>
      </w:r>
      <w:r w:rsidR="007F2E29" w:rsidRPr="00F306C5">
        <w:rPr>
          <w:rFonts w:ascii="Arial" w:hAnsi="Arial" w:cs="Arial"/>
          <w:i w:val="0"/>
          <w:iCs w:val="0"/>
          <w:sz w:val="20"/>
          <w:szCs w:val="20"/>
        </w:rPr>
        <w:t>FTIR spectra of nanocellulose films before and after light exposure</w:t>
      </w:r>
    </w:p>
    <w:sectPr w:rsidR="007F2E29" w:rsidRPr="00F306C5">
      <w:footerReference w:type="default" r:id="rId12"/>
      <w:pgSz w:w="11907" w:h="16840"/>
      <w:pgMar w:top="1418" w:right="1418" w:bottom="1134" w:left="255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B081CA" w14:textId="77777777" w:rsidR="007B7152" w:rsidRDefault="007B7152">
      <w:r>
        <w:separator/>
      </w:r>
    </w:p>
  </w:endnote>
  <w:endnote w:type="continuationSeparator" w:id="0">
    <w:p w14:paraId="11B91911" w14:textId="77777777" w:rsidR="007B7152" w:rsidRDefault="007B7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no Pro">
    <w:altName w:val="Times New Roman"/>
    <w:panose1 w:val="020B0604020202020204"/>
    <w:charset w:val="00"/>
    <w:family w:val="roman"/>
    <w:notTrueType/>
    <w:pitch w:val="variable"/>
    <w:sig w:usb0="60000287" w:usb1="00000001" w:usb2="00000000" w:usb3="00000000" w:csb0="0000019F"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 w:name="Symbol">
    <w:panose1 w:val="05050102010706020507"/>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401A58" w14:textId="77777777" w:rsidR="002E46C0" w:rsidRDefault="002E46C0">
    <w:pPr>
      <w:pStyle w:val="Footer"/>
      <w:jc w:val="right"/>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615EE1A" w14:textId="77777777" w:rsidR="007B7152" w:rsidRDefault="007B7152">
      <w:r>
        <w:separator/>
      </w:r>
    </w:p>
  </w:footnote>
  <w:footnote w:type="continuationSeparator" w:id="0">
    <w:p w14:paraId="023C33D2" w14:textId="77777777" w:rsidR="007B7152" w:rsidRDefault="007B71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CD152A"/>
    <w:multiLevelType w:val="multilevel"/>
    <w:tmpl w:val="009252A6"/>
    <w:lvl w:ilvl="0">
      <w:start w:val="1"/>
      <w:numFmt w:val="decimal"/>
      <w:pStyle w:val="Heading1"/>
      <w:lvlText w:val="%1."/>
      <w:lvlJc w:val="left"/>
      <w:pPr>
        <w:ind w:left="720" w:hanging="360"/>
      </w:pPr>
      <w:rPr>
        <w:rFonts w:hint="default"/>
      </w:rPr>
    </w:lvl>
    <w:lvl w:ilvl="1">
      <w:start w:val="1"/>
      <w:numFmt w:val="decimal"/>
      <w:pStyle w:val="Heading2"/>
      <w:isLgl/>
      <w:lvlText w:val="%1.%2"/>
      <w:lvlJc w:val="left"/>
      <w:pPr>
        <w:ind w:left="1110" w:hanging="390"/>
      </w:pPr>
      <w:rPr>
        <w:rFonts w:ascii="Times New Roman" w:hAnsi="Times New Roman" w:cs="Times New Roman" w:hint="default"/>
        <w:color w:val="0F4761" w:themeColor="accent1" w:themeShade="BF"/>
      </w:rPr>
    </w:lvl>
    <w:lvl w:ilvl="2">
      <w:start w:val="1"/>
      <w:numFmt w:val="decimal"/>
      <w:isLgl/>
      <w:lvlText w:val="%1.%2.%3"/>
      <w:lvlJc w:val="left"/>
      <w:pPr>
        <w:ind w:left="1800" w:hanging="720"/>
      </w:pPr>
      <w:rPr>
        <w:rFonts w:ascii="Times New Roman" w:hAnsi="Times New Roman" w:cs="Times New Roman" w:hint="default"/>
        <w:color w:val="010302"/>
      </w:rPr>
    </w:lvl>
    <w:lvl w:ilvl="3">
      <w:start w:val="1"/>
      <w:numFmt w:val="decimal"/>
      <w:isLgl/>
      <w:lvlText w:val="%1.%2.%3.%4"/>
      <w:lvlJc w:val="left"/>
      <w:pPr>
        <w:ind w:left="2160" w:hanging="720"/>
      </w:pPr>
      <w:rPr>
        <w:rFonts w:ascii="Times New Roman" w:hAnsi="Times New Roman" w:cs="Times New Roman" w:hint="default"/>
        <w:color w:val="010302"/>
      </w:rPr>
    </w:lvl>
    <w:lvl w:ilvl="4">
      <w:start w:val="1"/>
      <w:numFmt w:val="decimal"/>
      <w:isLgl/>
      <w:lvlText w:val="%1.%2.%3.%4.%5"/>
      <w:lvlJc w:val="left"/>
      <w:pPr>
        <w:ind w:left="2880" w:hanging="1080"/>
      </w:pPr>
      <w:rPr>
        <w:rFonts w:ascii="Times New Roman" w:hAnsi="Times New Roman" w:cs="Times New Roman" w:hint="default"/>
        <w:color w:val="010302"/>
      </w:rPr>
    </w:lvl>
    <w:lvl w:ilvl="5">
      <w:start w:val="1"/>
      <w:numFmt w:val="decimal"/>
      <w:isLgl/>
      <w:lvlText w:val="%1.%2.%3.%4.%5.%6"/>
      <w:lvlJc w:val="left"/>
      <w:pPr>
        <w:ind w:left="3600" w:hanging="1440"/>
      </w:pPr>
      <w:rPr>
        <w:rFonts w:ascii="Times New Roman" w:hAnsi="Times New Roman" w:cs="Times New Roman" w:hint="default"/>
        <w:color w:val="010302"/>
      </w:rPr>
    </w:lvl>
    <w:lvl w:ilvl="6">
      <w:start w:val="1"/>
      <w:numFmt w:val="decimal"/>
      <w:isLgl/>
      <w:lvlText w:val="%1.%2.%3.%4.%5.%6.%7"/>
      <w:lvlJc w:val="left"/>
      <w:pPr>
        <w:ind w:left="3960" w:hanging="1440"/>
      </w:pPr>
      <w:rPr>
        <w:rFonts w:ascii="Times New Roman" w:hAnsi="Times New Roman" w:cs="Times New Roman" w:hint="default"/>
        <w:color w:val="010302"/>
      </w:rPr>
    </w:lvl>
    <w:lvl w:ilvl="7">
      <w:start w:val="1"/>
      <w:numFmt w:val="decimal"/>
      <w:isLgl/>
      <w:lvlText w:val="%1.%2.%3.%4.%5.%6.%7.%8"/>
      <w:lvlJc w:val="left"/>
      <w:pPr>
        <w:ind w:left="4680" w:hanging="1800"/>
      </w:pPr>
      <w:rPr>
        <w:rFonts w:ascii="Times New Roman" w:hAnsi="Times New Roman" w:cs="Times New Roman" w:hint="default"/>
        <w:color w:val="010302"/>
      </w:rPr>
    </w:lvl>
    <w:lvl w:ilvl="8">
      <w:start w:val="1"/>
      <w:numFmt w:val="decimal"/>
      <w:isLgl/>
      <w:lvlText w:val="%1.%2.%3.%4.%5.%6.%7.%8.%9"/>
      <w:lvlJc w:val="left"/>
      <w:pPr>
        <w:ind w:left="5040" w:hanging="1800"/>
      </w:pPr>
      <w:rPr>
        <w:rFonts w:ascii="Times New Roman" w:hAnsi="Times New Roman" w:cs="Times New Roman" w:hint="default"/>
        <w:color w:val="010302"/>
      </w:rPr>
    </w:lvl>
  </w:abstractNum>
  <w:num w:numId="1" w16cid:durableId="528505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9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6C0"/>
    <w:rsid w:val="00051EAF"/>
    <w:rsid w:val="000A246E"/>
    <w:rsid w:val="000D7278"/>
    <w:rsid w:val="00191C7C"/>
    <w:rsid w:val="00222AB6"/>
    <w:rsid w:val="00231E3B"/>
    <w:rsid w:val="00245011"/>
    <w:rsid w:val="002D4AB2"/>
    <w:rsid w:val="002E46C0"/>
    <w:rsid w:val="003002DD"/>
    <w:rsid w:val="003340B3"/>
    <w:rsid w:val="003966E8"/>
    <w:rsid w:val="0041023C"/>
    <w:rsid w:val="00434ABE"/>
    <w:rsid w:val="004B3A1D"/>
    <w:rsid w:val="005076C8"/>
    <w:rsid w:val="005570BF"/>
    <w:rsid w:val="0057182C"/>
    <w:rsid w:val="00574922"/>
    <w:rsid w:val="005B7D8F"/>
    <w:rsid w:val="005D2EDA"/>
    <w:rsid w:val="005D4BEE"/>
    <w:rsid w:val="005D71EF"/>
    <w:rsid w:val="005E36D7"/>
    <w:rsid w:val="00603EE6"/>
    <w:rsid w:val="00647B2A"/>
    <w:rsid w:val="00680FA3"/>
    <w:rsid w:val="006846B4"/>
    <w:rsid w:val="006A7E9A"/>
    <w:rsid w:val="006D571D"/>
    <w:rsid w:val="00756918"/>
    <w:rsid w:val="00760CCA"/>
    <w:rsid w:val="00771D32"/>
    <w:rsid w:val="00790C95"/>
    <w:rsid w:val="007B7152"/>
    <w:rsid w:val="007D775D"/>
    <w:rsid w:val="007F2E29"/>
    <w:rsid w:val="007F74F4"/>
    <w:rsid w:val="008322C2"/>
    <w:rsid w:val="008642CE"/>
    <w:rsid w:val="00882989"/>
    <w:rsid w:val="0088503E"/>
    <w:rsid w:val="008A44FC"/>
    <w:rsid w:val="008C4C3E"/>
    <w:rsid w:val="00911103"/>
    <w:rsid w:val="00921843"/>
    <w:rsid w:val="0096267A"/>
    <w:rsid w:val="00A17BEE"/>
    <w:rsid w:val="00A6489C"/>
    <w:rsid w:val="00A67BF3"/>
    <w:rsid w:val="00AB1FD9"/>
    <w:rsid w:val="00AD6B85"/>
    <w:rsid w:val="00AF678A"/>
    <w:rsid w:val="00B26129"/>
    <w:rsid w:val="00BB23F8"/>
    <w:rsid w:val="00BB6351"/>
    <w:rsid w:val="00BE75FD"/>
    <w:rsid w:val="00C35A74"/>
    <w:rsid w:val="00C472DB"/>
    <w:rsid w:val="00C61875"/>
    <w:rsid w:val="00C77D21"/>
    <w:rsid w:val="00D50519"/>
    <w:rsid w:val="00D5110D"/>
    <w:rsid w:val="00D55C8B"/>
    <w:rsid w:val="00D933A9"/>
    <w:rsid w:val="00DE5608"/>
    <w:rsid w:val="00E0158B"/>
    <w:rsid w:val="00E32C50"/>
    <w:rsid w:val="00E870F7"/>
    <w:rsid w:val="00EA2334"/>
    <w:rsid w:val="00EB187A"/>
    <w:rsid w:val="00EC7E48"/>
    <w:rsid w:val="00ED4134"/>
    <w:rsid w:val="00ED7C9E"/>
    <w:rsid w:val="00EF2DFB"/>
    <w:rsid w:val="00EF4AEE"/>
    <w:rsid w:val="00EF5AB6"/>
    <w:rsid w:val="00F13BCD"/>
    <w:rsid w:val="00F306C5"/>
    <w:rsid w:val="00F5156B"/>
    <w:rsid w:val="00F74703"/>
    <w:rsid w:val="00FA40FA"/>
    <w:rsid w:val="00FD301F"/>
    <w:rsid w:val="00FE42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4E83D7"/>
  <w15:chartTrackingRefBased/>
  <w15:docId w15:val="{840C36B7-BF59-469F-B525-F3B2EB051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iPriority="35"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F2E29"/>
    <w:pPr>
      <w:spacing w:line="360" w:lineRule="auto"/>
      <w:ind w:firstLine="180"/>
      <w:jc w:val="both"/>
    </w:pPr>
    <w:rPr>
      <w:sz w:val="24"/>
      <w:szCs w:val="24"/>
      <w:lang w:eastAsia="fi-FI"/>
    </w:rPr>
  </w:style>
  <w:style w:type="paragraph" w:styleId="Heading1">
    <w:name w:val="heading 1"/>
    <w:basedOn w:val="Normal"/>
    <w:next w:val="Normal"/>
    <w:link w:val="Heading1Char"/>
    <w:uiPriority w:val="9"/>
    <w:qFormat/>
    <w:rsid w:val="007F2E29"/>
    <w:pPr>
      <w:keepNext/>
      <w:keepLines/>
      <w:numPr>
        <w:numId w:val="1"/>
      </w:numPr>
      <w:spacing w:before="240"/>
      <w:outlineLvl w:val="0"/>
    </w:pPr>
    <w:rPr>
      <w:rFonts w:asciiTheme="majorHAnsi" w:eastAsiaTheme="majorEastAsia" w:hAnsiTheme="majorHAnsi" w:cstheme="majorBidi"/>
      <w:color w:val="0F4761" w:themeColor="accent1" w:themeShade="BF"/>
      <w:sz w:val="32"/>
      <w:szCs w:val="32"/>
    </w:rPr>
  </w:style>
  <w:style w:type="paragraph" w:styleId="Heading2">
    <w:name w:val="heading 2"/>
    <w:basedOn w:val="ListParagraph"/>
    <w:next w:val="Normal"/>
    <w:link w:val="Heading2Char"/>
    <w:uiPriority w:val="9"/>
    <w:unhideWhenUsed/>
    <w:qFormat/>
    <w:rsid w:val="007F2E29"/>
    <w:pPr>
      <w:numPr>
        <w:ilvl w:val="1"/>
        <w:numId w:val="1"/>
      </w:numPr>
      <w:outlineLvl w:val="1"/>
    </w:pPr>
    <w:rPr>
      <w:color w:val="0F476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536"/>
        <w:tab w:val="right" w:pos="9072"/>
      </w:tabs>
    </w:pPr>
  </w:style>
  <w:style w:type="paragraph" w:styleId="Footer">
    <w:name w:val="footer"/>
    <w:basedOn w:val="Normal"/>
    <w:pPr>
      <w:tabs>
        <w:tab w:val="center" w:pos="4536"/>
        <w:tab w:val="right" w:pos="9072"/>
      </w:tabs>
    </w:pPr>
  </w:style>
  <w:style w:type="character" w:styleId="PageNumber">
    <w:name w:val="page number"/>
    <w:basedOn w:val="DefaultParagraphFont"/>
  </w:style>
  <w:style w:type="paragraph" w:customStyle="1" w:styleId="abbreviations">
    <w:name w:val="abbreviations"/>
    <w:basedOn w:val="abstract"/>
    <w:next w:val="Normal"/>
    <w:pPr>
      <w:tabs>
        <w:tab w:val="left" w:pos="3402"/>
      </w:tabs>
      <w:ind w:left="3402" w:hanging="3402"/>
    </w:pPr>
  </w:style>
  <w:style w:type="paragraph" w:customStyle="1" w:styleId="Title1">
    <w:name w:val="Title1"/>
    <w:basedOn w:val="Normal"/>
    <w:next w:val="author"/>
    <w:rPr>
      <w:rFonts w:ascii="Arial" w:hAnsi="Arial"/>
      <w:b/>
      <w:sz w:val="36"/>
    </w:rPr>
  </w:style>
  <w:style w:type="paragraph" w:customStyle="1" w:styleId="heading10">
    <w:name w:val="heading1"/>
    <w:basedOn w:val="Normal"/>
    <w:next w:val="Normal"/>
    <w:pPr>
      <w:keepNext/>
      <w:spacing w:before="240" w:after="180"/>
    </w:pPr>
    <w:rPr>
      <w:rFonts w:ascii="Arial" w:hAnsi="Arial"/>
      <w:b/>
      <w:sz w:val="32"/>
    </w:rPr>
  </w:style>
  <w:style w:type="paragraph" w:customStyle="1" w:styleId="heading20">
    <w:name w:val="heading2"/>
    <w:basedOn w:val="Normal"/>
    <w:next w:val="Normal"/>
    <w:pPr>
      <w:keepNext/>
      <w:spacing w:before="240" w:after="180"/>
    </w:pPr>
    <w:rPr>
      <w:rFonts w:ascii="Arial" w:hAnsi="Arial"/>
      <w:b/>
    </w:rPr>
  </w:style>
  <w:style w:type="paragraph" w:customStyle="1" w:styleId="heading3">
    <w:name w:val="heading3"/>
    <w:basedOn w:val="Normal"/>
    <w:next w:val="Normal"/>
    <w:pPr>
      <w:keepNext/>
      <w:spacing w:before="240" w:after="180"/>
    </w:pPr>
    <w:rPr>
      <w:rFonts w:ascii="Arial" w:hAnsi="Arial"/>
      <w:i/>
    </w:rPr>
  </w:style>
  <w:style w:type="paragraph" w:customStyle="1" w:styleId="run-in">
    <w:name w:val="run-in"/>
    <w:basedOn w:val="Normal"/>
    <w:next w:val="Normal"/>
    <w:pPr>
      <w:keepNext/>
      <w:spacing w:before="120"/>
    </w:pPr>
    <w:rPr>
      <w:b/>
    </w:rPr>
  </w:style>
  <w:style w:type="paragraph" w:customStyle="1" w:styleId="figurecitation">
    <w:name w:val="figurecitation"/>
    <w:basedOn w:val="Normal"/>
    <w:pPr>
      <w:pBdr>
        <w:top w:val="single" w:sz="8" w:space="1" w:color="auto"/>
        <w:left w:val="single" w:sz="8" w:space="4" w:color="auto"/>
        <w:bottom w:val="single" w:sz="8" w:space="1" w:color="auto"/>
        <w:right w:val="single" w:sz="8" w:space="4" w:color="auto"/>
      </w:pBdr>
    </w:pPr>
    <w:rPr>
      <w:rFonts w:ascii="Arial" w:hAnsi="Arial"/>
      <w:b/>
      <w:sz w:val="36"/>
    </w:rPr>
  </w:style>
  <w:style w:type="paragraph" w:customStyle="1" w:styleId="acknowledgements">
    <w:name w:val="acknowledgements"/>
    <w:basedOn w:val="abstract"/>
    <w:next w:val="Normal"/>
    <w:pPr>
      <w:spacing w:before="240"/>
    </w:pPr>
  </w:style>
  <w:style w:type="paragraph" w:customStyle="1" w:styleId="author">
    <w:name w:val="author"/>
    <w:basedOn w:val="Normal"/>
    <w:next w:val="affiliation"/>
    <w:pPr>
      <w:spacing w:before="120"/>
    </w:pPr>
  </w:style>
  <w:style w:type="paragraph" w:customStyle="1" w:styleId="affiliation">
    <w:name w:val="affiliation"/>
    <w:basedOn w:val="Normal"/>
    <w:next w:val="phone"/>
    <w:pPr>
      <w:spacing w:before="120" w:line="240" w:lineRule="auto"/>
    </w:pPr>
    <w:rPr>
      <w:i/>
    </w:rPr>
  </w:style>
  <w:style w:type="paragraph" w:customStyle="1" w:styleId="email">
    <w:name w:val="email"/>
    <w:basedOn w:val="Normal"/>
    <w:next w:val="url"/>
    <w:pPr>
      <w:spacing w:before="120" w:line="240" w:lineRule="auto"/>
    </w:pPr>
    <w:rPr>
      <w:sz w:val="20"/>
    </w:rPr>
  </w:style>
  <w:style w:type="paragraph" w:customStyle="1" w:styleId="phone">
    <w:name w:val="phone"/>
    <w:basedOn w:val="email"/>
    <w:next w:val="fax"/>
  </w:style>
  <w:style w:type="paragraph" w:customStyle="1" w:styleId="fax">
    <w:name w:val="fax"/>
    <w:basedOn w:val="email"/>
    <w:next w:val="email"/>
  </w:style>
  <w:style w:type="paragraph" w:customStyle="1" w:styleId="abstract">
    <w:name w:val="abstract"/>
    <w:basedOn w:val="Normal"/>
    <w:next w:val="keywords"/>
    <w:pPr>
      <w:spacing w:before="120"/>
    </w:pPr>
    <w:rPr>
      <w:sz w:val="20"/>
    </w:rPr>
  </w:style>
  <w:style w:type="paragraph" w:customStyle="1" w:styleId="keywords">
    <w:name w:val="keywords"/>
    <w:basedOn w:val="Normal"/>
    <w:next w:val="Normal"/>
    <w:pPr>
      <w:spacing w:before="120"/>
    </w:pPr>
    <w:rPr>
      <w:i/>
    </w:rPr>
  </w:style>
  <w:style w:type="paragraph" w:customStyle="1" w:styleId="extraaddress">
    <w:name w:val="extraaddress"/>
    <w:basedOn w:val="email"/>
  </w:style>
  <w:style w:type="paragraph" w:customStyle="1" w:styleId="reference">
    <w:name w:val="reference"/>
    <w:basedOn w:val="Normal"/>
    <w:rPr>
      <w:sz w:val="20"/>
    </w:rPr>
  </w:style>
  <w:style w:type="paragraph" w:customStyle="1" w:styleId="equation">
    <w:name w:val="equation"/>
    <w:basedOn w:val="Normal"/>
    <w:next w:val="Normal"/>
    <w:pPr>
      <w:spacing w:before="120" w:after="120"/>
      <w:jc w:val="center"/>
    </w:pPr>
  </w:style>
  <w:style w:type="paragraph" w:customStyle="1" w:styleId="articlenote">
    <w:name w:val="articlenote"/>
    <w:basedOn w:val="Normal"/>
    <w:next w:val="Normal"/>
    <w:pPr>
      <w:spacing w:line="240" w:lineRule="auto"/>
    </w:pPr>
    <w:rPr>
      <w:sz w:val="22"/>
    </w:rPr>
  </w:style>
  <w:style w:type="paragraph" w:customStyle="1" w:styleId="figlegend">
    <w:name w:val="figlegend"/>
    <w:basedOn w:val="Normal"/>
    <w:next w:val="Normal"/>
    <w:pPr>
      <w:spacing w:before="120"/>
    </w:pPr>
    <w:rPr>
      <w:sz w:val="20"/>
    </w:rPr>
  </w:style>
  <w:style w:type="paragraph" w:customStyle="1" w:styleId="tablelegend">
    <w:name w:val="tablelegend"/>
    <w:basedOn w:val="Normal"/>
    <w:next w:val="Normal"/>
    <w:pPr>
      <w:spacing w:before="120"/>
    </w:pPr>
    <w:rPr>
      <w:sz w:val="20"/>
    </w:rPr>
  </w:style>
  <w:style w:type="paragraph" w:customStyle="1" w:styleId="url">
    <w:name w:val="url"/>
    <w:basedOn w:val="email"/>
    <w:next w:val="Normal"/>
  </w:style>
  <w:style w:type="character" w:customStyle="1" w:styleId="Heading1Char">
    <w:name w:val="Heading 1 Char"/>
    <w:basedOn w:val="DefaultParagraphFont"/>
    <w:link w:val="Heading1"/>
    <w:uiPriority w:val="9"/>
    <w:rsid w:val="007F2E29"/>
    <w:rPr>
      <w:rFonts w:asciiTheme="majorHAnsi" w:eastAsiaTheme="majorEastAsia" w:hAnsiTheme="majorHAnsi" w:cstheme="majorBidi"/>
      <w:color w:val="0F4761" w:themeColor="accent1" w:themeShade="BF"/>
      <w:sz w:val="32"/>
      <w:szCs w:val="32"/>
      <w:lang w:eastAsia="fi-FI"/>
    </w:rPr>
  </w:style>
  <w:style w:type="character" w:customStyle="1" w:styleId="Heading2Char">
    <w:name w:val="Heading 2 Char"/>
    <w:basedOn w:val="DefaultParagraphFont"/>
    <w:link w:val="Heading2"/>
    <w:uiPriority w:val="9"/>
    <w:rsid w:val="007F2E29"/>
    <w:rPr>
      <w:color w:val="0F4761" w:themeColor="accent1" w:themeShade="BF"/>
      <w:sz w:val="24"/>
      <w:szCs w:val="24"/>
      <w:lang w:eastAsia="fi-FI"/>
    </w:rPr>
  </w:style>
  <w:style w:type="paragraph" w:customStyle="1" w:styleId="BBAuthorName">
    <w:name w:val="BB_Author_Name"/>
    <w:basedOn w:val="Normal"/>
    <w:next w:val="BCAuthorAddress"/>
    <w:autoRedefine/>
    <w:rsid w:val="007F2E29"/>
    <w:pPr>
      <w:tabs>
        <w:tab w:val="left" w:pos="9630"/>
      </w:tabs>
      <w:spacing w:after="180" w:line="240" w:lineRule="auto"/>
      <w:jc w:val="left"/>
    </w:pPr>
    <w:rPr>
      <w:i/>
      <w:iCs/>
      <w:kern w:val="26"/>
      <w:szCs w:val="20"/>
    </w:rPr>
  </w:style>
  <w:style w:type="paragraph" w:customStyle="1" w:styleId="BCAuthorAddress">
    <w:name w:val="BC_Author_Address"/>
    <w:basedOn w:val="Normal"/>
    <w:next w:val="Normal"/>
    <w:autoRedefine/>
    <w:rsid w:val="007F2E29"/>
    <w:pPr>
      <w:spacing w:line="480" w:lineRule="auto"/>
      <w:ind w:firstLine="0"/>
      <w:jc w:val="left"/>
    </w:pPr>
    <w:rPr>
      <w:rFonts w:ascii="Arno Pro" w:hAnsi="Arno Pro"/>
      <w:kern w:val="22"/>
      <w:sz w:val="20"/>
      <w:szCs w:val="20"/>
    </w:rPr>
  </w:style>
  <w:style w:type="paragraph" w:customStyle="1" w:styleId="paragraph">
    <w:name w:val="paragraph"/>
    <w:basedOn w:val="Normal"/>
    <w:rsid w:val="007F2E29"/>
    <w:pPr>
      <w:spacing w:before="100" w:beforeAutospacing="1" w:after="100" w:afterAutospacing="1" w:line="240" w:lineRule="auto"/>
    </w:pPr>
    <w:rPr>
      <w:lang w:val="fi-FI"/>
    </w:rPr>
  </w:style>
  <w:style w:type="paragraph" w:customStyle="1" w:styleId="BATitle">
    <w:name w:val="BA_Title"/>
    <w:basedOn w:val="Normal"/>
    <w:next w:val="BBAuthorName"/>
    <w:autoRedefine/>
    <w:rsid w:val="007F2E29"/>
    <w:pPr>
      <w:spacing w:line="480" w:lineRule="auto"/>
      <w:ind w:firstLine="0"/>
      <w:jc w:val="left"/>
    </w:pPr>
    <w:rPr>
      <w:bCs/>
      <w:kern w:val="36"/>
      <w:sz w:val="44"/>
      <w:lang w:eastAsia="en-US"/>
    </w:rPr>
  </w:style>
  <w:style w:type="paragraph" w:customStyle="1" w:styleId="BIEmailAddress">
    <w:name w:val="BI_Email_Address"/>
    <w:basedOn w:val="Normal"/>
    <w:next w:val="Normal"/>
    <w:autoRedefine/>
    <w:rsid w:val="007F2E29"/>
    <w:pPr>
      <w:spacing w:line="240" w:lineRule="auto"/>
      <w:ind w:firstLine="0"/>
      <w:jc w:val="left"/>
    </w:pPr>
    <w:rPr>
      <w:rFonts w:ascii="Arno Pro" w:hAnsi="Arno Pro"/>
      <w:sz w:val="18"/>
      <w:szCs w:val="20"/>
      <w:lang w:eastAsia="en-US"/>
    </w:rPr>
  </w:style>
  <w:style w:type="paragraph" w:styleId="Caption">
    <w:name w:val="caption"/>
    <w:basedOn w:val="Normal"/>
    <w:next w:val="Normal"/>
    <w:uiPriority w:val="35"/>
    <w:unhideWhenUsed/>
    <w:qFormat/>
    <w:rsid w:val="007F2E29"/>
    <w:pPr>
      <w:spacing w:after="200" w:line="240" w:lineRule="auto"/>
    </w:pPr>
    <w:rPr>
      <w:i/>
      <w:iCs/>
      <w:color w:val="0E2841" w:themeColor="text2"/>
      <w:sz w:val="18"/>
      <w:szCs w:val="18"/>
    </w:rPr>
  </w:style>
  <w:style w:type="table" w:styleId="TableGrid">
    <w:name w:val="Table Grid"/>
    <w:basedOn w:val="TableNormal"/>
    <w:rsid w:val="007F2E2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F2E29"/>
    <w:pPr>
      <w:ind w:left="720"/>
      <w:contextualSpacing/>
    </w:pPr>
  </w:style>
  <w:style w:type="paragraph" w:styleId="Title">
    <w:name w:val="Title"/>
    <w:basedOn w:val="Normal"/>
    <w:next w:val="Normal"/>
    <w:link w:val="TitleChar"/>
    <w:qFormat/>
    <w:rsid w:val="007F2E29"/>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7F2E29"/>
    <w:rPr>
      <w:rFonts w:asciiTheme="majorHAnsi" w:eastAsiaTheme="majorEastAsia" w:hAnsiTheme="majorHAnsi" w:cstheme="majorBidi"/>
      <w:spacing w:val="-10"/>
      <w:kern w:val="28"/>
      <w:sz w:val="56"/>
      <w:szCs w:val="56"/>
      <w:lang w:eastAsia="fi-FI"/>
    </w:rPr>
  </w:style>
  <w:style w:type="character" w:styleId="Hyperlink">
    <w:name w:val="Hyperlink"/>
    <w:basedOn w:val="DefaultParagraphFont"/>
    <w:rsid w:val="005D2EDA"/>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ice.kaschuk@wur.n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uniza_admin\OneDrive%20-%20O365%20Turun%20yliopisto\Documents\Aging%20tests\2021%20summer%20Joice%20and%20Tiffany\Joice's%20samples\Ancient%20paper\2024-06-27_rejected_polishing\sv-jour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23BC83-E247-49C0-BB19-4DCFF96DED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C:\Users\runiza_admin\OneDrive - O365 Turun yliopisto\Documents\Aging tests\2021 summer Joice and Tiffany\Joice's samples\Ancient paper\2024-06-27_rejected_polishing\sv-journ.dot</Template>
  <TotalTime>132</TotalTime>
  <Pages>4</Pages>
  <Words>453</Words>
  <Characters>2720</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Author template for journal articles</vt:lpstr>
    </vt:vector>
  </TitlesOfParts>
  <Company>SPRINGER VERLAG</Company>
  <LinksUpToDate>false</LinksUpToDate>
  <CharactersWithSpaces>3167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Author template for journal articles</dc:title>
  <dc:subject/>
  <dc:creator>Rustem Nizamov</dc:creator>
  <cp:keywords/>
  <dc:description>Springer Heidelberg 2005</dc:description>
  <cp:lastModifiedBy>Kaschuk, Joice</cp:lastModifiedBy>
  <cp:revision>60</cp:revision>
  <cp:lastPrinted>1997-08-25T14:11:00Z</cp:lastPrinted>
  <dcterms:created xsi:type="dcterms:W3CDTF">2024-07-07T07:37:00Z</dcterms:created>
  <dcterms:modified xsi:type="dcterms:W3CDTF">2024-11-03T10:10:00Z</dcterms:modified>
</cp:coreProperties>
</file>