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69D698" w14:textId="77777777" w:rsidR="0096677B" w:rsidRPr="00084802" w:rsidRDefault="0096677B">
      <w:pPr>
        <w:rPr>
          <w:rFonts w:ascii="Times New Roman" w:hAnsi="Times New Roman" w:cs="Times New Roman"/>
          <w:sz w:val="22"/>
          <w:szCs w:val="22"/>
          <w:lang w:val="en-US"/>
        </w:rPr>
        <w:sectPr w:rsidR="0096677B" w:rsidRPr="00084802">
          <w:pgSz w:w="12240" w:h="15840"/>
          <w:pgMar w:top="1440" w:right="1440" w:bottom="1440" w:left="1440" w:header="708" w:footer="708" w:gutter="0"/>
          <w:cols w:space="708"/>
          <w:docGrid w:linePitch="360"/>
        </w:sectPr>
      </w:pPr>
    </w:p>
    <w:tbl>
      <w:tblPr>
        <w:tblStyle w:val="TableGrid"/>
        <w:tblpPr w:leftFromText="180" w:rightFromText="180" w:vertAnchor="text" w:horzAnchor="margin" w:tblpXSpec="center" w:tblpY="-590"/>
        <w:tblW w:w="19852" w:type="dxa"/>
        <w:tblLayout w:type="fixed"/>
        <w:tblLook w:val="04A0" w:firstRow="1" w:lastRow="0" w:firstColumn="1" w:lastColumn="0" w:noHBand="0" w:noVBand="1"/>
      </w:tblPr>
      <w:tblGrid>
        <w:gridCol w:w="1361"/>
        <w:gridCol w:w="1228"/>
        <w:gridCol w:w="1365"/>
        <w:gridCol w:w="1283"/>
        <w:gridCol w:w="1454"/>
        <w:gridCol w:w="1056"/>
        <w:gridCol w:w="1182"/>
        <w:gridCol w:w="1171"/>
        <w:gridCol w:w="1228"/>
        <w:gridCol w:w="1228"/>
        <w:gridCol w:w="1640"/>
        <w:gridCol w:w="1640"/>
        <w:gridCol w:w="2008"/>
        <w:gridCol w:w="2008"/>
      </w:tblGrid>
      <w:tr w:rsidR="009F3F93" w:rsidRPr="00084802" w14:paraId="77AB42D9" w14:textId="56CF7709" w:rsidTr="009F3F93">
        <w:trPr>
          <w:trHeight w:val="820"/>
        </w:trPr>
        <w:tc>
          <w:tcPr>
            <w:tcW w:w="1361" w:type="dxa"/>
          </w:tcPr>
          <w:p w14:paraId="05941337" w14:textId="77777777" w:rsidR="009F3F93" w:rsidRPr="00B93713" w:rsidRDefault="009F3F93" w:rsidP="00FE7920">
            <w:pPr>
              <w:spacing w:before="48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lastRenderedPageBreak/>
              <w:t>First Author</w:t>
            </w:r>
          </w:p>
        </w:tc>
        <w:tc>
          <w:tcPr>
            <w:tcW w:w="1228" w:type="dxa"/>
          </w:tcPr>
          <w:p w14:paraId="1CB1DAEE" w14:textId="77777777"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Year of Publication</w:t>
            </w:r>
          </w:p>
        </w:tc>
        <w:tc>
          <w:tcPr>
            <w:tcW w:w="1365" w:type="dxa"/>
          </w:tcPr>
          <w:p w14:paraId="6E28ADE8" w14:textId="2E18B72A"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Location (Country)</w:t>
            </w:r>
          </w:p>
        </w:tc>
        <w:tc>
          <w:tcPr>
            <w:tcW w:w="1283" w:type="dxa"/>
          </w:tcPr>
          <w:p w14:paraId="29A48821" w14:textId="3FDE5CA0"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Single / Multicenter</w:t>
            </w:r>
          </w:p>
        </w:tc>
        <w:tc>
          <w:tcPr>
            <w:tcW w:w="1454" w:type="dxa"/>
          </w:tcPr>
          <w:p w14:paraId="28073494" w14:textId="42816A45" w:rsidR="009F3F93" w:rsidRPr="00B93713" w:rsidRDefault="009F3F93" w:rsidP="00FE7920">
            <w:pPr>
              <w:spacing w:before="48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Study Design</w:t>
            </w:r>
          </w:p>
        </w:tc>
        <w:tc>
          <w:tcPr>
            <w:tcW w:w="1056" w:type="dxa"/>
          </w:tcPr>
          <w:p w14:paraId="3778DC65" w14:textId="104024DA"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Total Patients (n)</w:t>
            </w:r>
          </w:p>
        </w:tc>
        <w:tc>
          <w:tcPr>
            <w:tcW w:w="1182" w:type="dxa"/>
          </w:tcPr>
          <w:p w14:paraId="32ABE53C" w14:textId="77777777" w:rsidR="009F3F93" w:rsidRPr="00B93713" w:rsidRDefault="009F3F93" w:rsidP="00FE7920">
            <w:pPr>
              <w:spacing w:before="12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Patient age (median, range – years)</w:t>
            </w:r>
          </w:p>
        </w:tc>
        <w:tc>
          <w:tcPr>
            <w:tcW w:w="1171" w:type="dxa"/>
          </w:tcPr>
          <w:p w14:paraId="078600C6" w14:textId="77777777"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Male Sex (%)</w:t>
            </w:r>
          </w:p>
        </w:tc>
        <w:tc>
          <w:tcPr>
            <w:tcW w:w="1228" w:type="dxa"/>
          </w:tcPr>
          <w:p w14:paraId="3AD85477" w14:textId="77777777"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Median Follow Up (Months)</w:t>
            </w:r>
          </w:p>
        </w:tc>
        <w:tc>
          <w:tcPr>
            <w:tcW w:w="1228" w:type="dxa"/>
          </w:tcPr>
          <w:p w14:paraId="182D3D56" w14:textId="77777777"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BCLC Stage (n)</w:t>
            </w:r>
          </w:p>
        </w:tc>
        <w:tc>
          <w:tcPr>
            <w:tcW w:w="1640" w:type="dxa"/>
          </w:tcPr>
          <w:p w14:paraId="1A96D97F" w14:textId="77777777"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Child-Pugh Class/Score (n)</w:t>
            </w:r>
          </w:p>
        </w:tc>
        <w:tc>
          <w:tcPr>
            <w:tcW w:w="1640" w:type="dxa"/>
          </w:tcPr>
          <w:p w14:paraId="28229B07" w14:textId="77777777"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Prior Treatment (n)</w:t>
            </w:r>
          </w:p>
        </w:tc>
        <w:tc>
          <w:tcPr>
            <w:tcW w:w="2008" w:type="dxa"/>
          </w:tcPr>
          <w:p w14:paraId="341A7FF2" w14:textId="77777777" w:rsidR="009F3F93" w:rsidRPr="00B93713" w:rsidRDefault="009F3F93" w:rsidP="00FE7920">
            <w:pPr>
              <w:spacing w:before="240"/>
              <w:jc w:val="center"/>
              <w:rPr>
                <w:rFonts w:ascii="Times New Roman" w:hAnsi="Times New Roman" w:cs="Times New Roman"/>
                <w:b/>
                <w:bCs/>
                <w:sz w:val="20"/>
                <w:szCs w:val="20"/>
                <w:lang w:val="en-US"/>
              </w:rPr>
            </w:pPr>
            <w:r w:rsidRPr="00B93713">
              <w:rPr>
                <w:rFonts w:ascii="Times New Roman" w:hAnsi="Times New Roman" w:cs="Times New Roman"/>
                <w:b/>
                <w:bCs/>
                <w:sz w:val="20"/>
                <w:szCs w:val="20"/>
                <w:lang w:val="en-US"/>
              </w:rPr>
              <w:t>Immunotherapy Drugs Regimen</w:t>
            </w:r>
          </w:p>
        </w:tc>
        <w:tc>
          <w:tcPr>
            <w:tcW w:w="2008" w:type="dxa"/>
          </w:tcPr>
          <w:p w14:paraId="7016772C" w14:textId="1F5EE5F7" w:rsidR="009F3F93" w:rsidRPr="00B93713" w:rsidRDefault="00DD7EBA" w:rsidP="00FE7920">
            <w:pPr>
              <w:spacing w:before="240"/>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Treatment Sequence</w:t>
            </w:r>
          </w:p>
        </w:tc>
      </w:tr>
      <w:tr w:rsidR="00DD7EBA" w:rsidRPr="00084802" w14:paraId="6CCFC3FB" w14:textId="28E6CA32" w:rsidTr="009F3F93">
        <w:trPr>
          <w:trHeight w:val="457"/>
        </w:trPr>
        <w:tc>
          <w:tcPr>
            <w:tcW w:w="1361" w:type="dxa"/>
            <w:vAlign w:val="bottom"/>
          </w:tcPr>
          <w:p w14:paraId="00307A2B" w14:textId="4A305251" w:rsidR="00DD7EBA" w:rsidRPr="00B93713" w:rsidRDefault="00DD7EBA" w:rsidP="00DD7EBA">
            <w:pPr>
              <w:spacing w:after="360"/>
              <w:jc w:val="center"/>
              <w:rPr>
                <w:rFonts w:ascii="Times New Roman" w:hAnsi="Times New Roman" w:cs="Times New Roman"/>
                <w:sz w:val="20"/>
                <w:szCs w:val="20"/>
                <w:lang w:val="en-US"/>
              </w:rPr>
            </w:pPr>
            <w:r w:rsidRPr="00B93713">
              <w:rPr>
                <w:rFonts w:ascii="Times New Roman" w:hAnsi="Times New Roman" w:cs="Times New Roman"/>
                <w:sz w:val="20"/>
                <w:szCs w:val="20"/>
                <w:lang w:val="es-AR"/>
              </w:rPr>
              <w:t xml:space="preserve">De La Torre-Aláez M </w:t>
            </w:r>
            <w:r w:rsidRPr="00B93713">
              <w:rPr>
                <w:rFonts w:ascii="Times New Roman" w:hAnsi="Times New Roman" w:cs="Times New Roman"/>
                <w:sz w:val="20"/>
                <w:szCs w:val="20"/>
                <w:lang w:val="en-US"/>
              </w:rPr>
              <w:fldChar w:fldCharType="begin"/>
            </w:r>
            <w:r>
              <w:rPr>
                <w:rFonts w:ascii="Times New Roman" w:hAnsi="Times New Roman" w:cs="Times New Roman"/>
                <w:sz w:val="20"/>
                <w:szCs w:val="20"/>
                <w:lang w:val="es-AR"/>
              </w:rPr>
              <w:instrText xml:space="preserve"> ADDIN ZOTERO_ITEM CSL_CITATION {"citationID":"WhfophUy","properties":{"formattedCitation":"[36]","plainCitation":"[36]","noteIndex":0},"citationItems":[{"id":12934,"uris":["http://zotero.org/groups/5633822/items/KYNIEAZG"],"itemData":{"id":12934,"type":"article-journal","abstract":"PURPOSE: To evaluate the safety and efficacy of selective internal radiation therapy (SIRT) in combination with a PD-1 inhibitor in patients with unresectable  hepatocellular carcinoma (uHCC) and liver-only disease ineligible for  chemoembolization. PATIENTS AND METHODS: NASIR-HCC is a single-arm, multicenter,  open-label, phase 2 trial that recruited from 2017 to 2019 patients who were  naïve to immunotherapy and had tumors in the BCLC B2 substage (single or multiple  tumors beyond the up-to-7 rule), or unilobar tumors with segmental or lobar  portal vein invasion (PVI); no extrahepatic spread; and preserved liver function.  Patients received SIRT followed 3 weeks later by nivolumab (240 mg every 2 weeks)  for up to 24 doses or until disease progression or unacceptable toxicity. Safety  was the primary endpoint. Secondary objectives included objective response rate  (ORR), time to progression (TTP), and overall survival (OS). RESULTS: 42 patients  received SIRT (31 BCLC-B2, 11 with PVI) and were followed for a median of 22.2  months. 27 patients discontinued and 1 never received Nivolumab. 41 patients had  any-grade adverse events (AE) and 21 had serious AEs (SAE). Treatment-related AEs  and SAEs grade 3-4 occurred in 8 and 5 patients, respectively. Using RECIST 1.1  criteria, ORR reported by investigators was 41.5% (95% CI 26.3% to 57.9%). Four  patients were downstaged to partial hepatectomy. Median TTP was 8.8 months (95%  CI 7.0 to 10.5) and median OS was 20.9 months (95% CI 17.7 to 24.1). CONCLUSIONS:  The combination of SIRT and nivolumab has shown an acceptable safety profile and  signs of </w:instrText>
            </w:r>
            <w:r w:rsidRPr="00E82894">
              <w:rPr>
                <w:rFonts w:ascii="Times New Roman" w:hAnsi="Times New Roman" w:cs="Times New Roman"/>
                <w:sz w:val="20"/>
                <w:szCs w:val="20"/>
                <w:lang w:val="en-US"/>
              </w:rPr>
              <w:instrText>antitumor activity in the treatment of patients with uHCC that were fit  for SIRT. TRIAL REGISTRATION NUMBER: NCT03380130.","container-title":"Journal for immunotherapy of cancer","DOI":"10.1136/jitc-2022-005457","ISSN":"2051-1426","issue":"11","journalAbbreviation":"J Immunother Cancer","language":"eng","license":"© Author(s) (or their employer(s)) 2022. Re-use permitted under CC BY-NC. No commercial re-use. See rights and permissions. Published by BMJ.","note":"publisher-place: England\nPMID: 36450386 \nPMCID: PMC9716796","title":"Nivolumab after selective internal radiation therapy for the treatment of hepatocellular carcinoma: a phase 2, single-arm study.","volume":"10","author":[{"family":"Torre-Aláez","given":"Manuel","non-dropping-particle":"de la"},{"family":"Matilla","given":"Ana"},{"family":"Varela","given":"Maria"},{"family":"Iñarrairaegui","given":"Mercedes"},{"family":"Reig","given":"Maria"},{"family":"Lledó","given":"Jose Luis"},{"family":"Arenas","given":"Juan Ignacio"},{"family":"Lorente","given":"Sara"},{"family":"Testillano","given":"Mi</w:instrText>
            </w:r>
            <w:r w:rsidRPr="00BB17B8">
              <w:rPr>
                <w:rFonts w:ascii="Times New Roman" w:hAnsi="Times New Roman" w:cs="Times New Roman"/>
                <w:sz w:val="20"/>
                <w:szCs w:val="20"/>
                <w:lang w:val="en-US"/>
              </w:rPr>
              <w:instrText xml:space="preserve">lagros"},{"family":"Márquez","given":"Laura"},{"family":"Da Fonseca","given":"Leonardo"},{"family":"Argemí","given":"Josepmaria"},{"family":"Gómez-Martin","given":"Carlos"},{"family":"Rodriguez-Fraile","given":"Macarena"},{"family":"Bilbao","given":"Jose I."},{"family":"Sangro","given":"Bruno"}],"issued":{"date-parts":[["2022",11]]}}}],"schema":"https://github.com/citation-style-language/schema/raw/master/csl-citation.json"} </w:instrText>
            </w:r>
            <w:r w:rsidRPr="00B93713">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[36]</w:t>
            </w:r>
            <w:r w:rsidRPr="00B93713">
              <w:rPr>
                <w:rFonts w:ascii="Times New Roman" w:hAnsi="Times New Roman" w:cs="Times New Roman"/>
                <w:sz w:val="20"/>
                <w:szCs w:val="20"/>
                <w:lang w:val="en-US"/>
              </w:rPr>
              <w:fldChar w:fldCharType="end"/>
            </w:r>
          </w:p>
        </w:tc>
        <w:tc>
          <w:tcPr>
            <w:tcW w:w="1228" w:type="dxa"/>
          </w:tcPr>
          <w:p w14:paraId="5ECB7659" w14:textId="77777777" w:rsidR="00DD7EBA" w:rsidRPr="00B93713" w:rsidRDefault="00DD7EBA" w:rsidP="00DD7EBA">
            <w:pPr>
              <w:jc w:val="center"/>
              <w:rPr>
                <w:rFonts w:ascii="Times New Roman" w:hAnsi="Times New Roman" w:cs="Times New Roman"/>
                <w:sz w:val="20"/>
                <w:szCs w:val="20"/>
                <w:lang w:val="en-US"/>
              </w:rPr>
            </w:pPr>
          </w:p>
          <w:p w14:paraId="3E880D0D" w14:textId="77777777"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2022</w:t>
            </w:r>
          </w:p>
        </w:tc>
        <w:tc>
          <w:tcPr>
            <w:tcW w:w="1365" w:type="dxa"/>
          </w:tcPr>
          <w:p w14:paraId="04696FFC" w14:textId="77777777" w:rsidR="00DD7EBA" w:rsidRPr="00B93713" w:rsidRDefault="00DD7EBA" w:rsidP="00DD7EBA">
            <w:pPr>
              <w:jc w:val="center"/>
              <w:rPr>
                <w:rFonts w:ascii="Times New Roman" w:hAnsi="Times New Roman" w:cs="Times New Roman"/>
                <w:sz w:val="20"/>
                <w:szCs w:val="20"/>
                <w:lang w:val="en-US"/>
              </w:rPr>
            </w:pPr>
          </w:p>
          <w:p w14:paraId="5BF9DC3B" w14:textId="77777777"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Spain</w:t>
            </w:r>
          </w:p>
        </w:tc>
        <w:tc>
          <w:tcPr>
            <w:tcW w:w="1283" w:type="dxa"/>
          </w:tcPr>
          <w:p w14:paraId="1B829A6E" w14:textId="5D95778E" w:rsidR="00DD7EBA" w:rsidRPr="00B93713" w:rsidRDefault="00DD7EBA" w:rsidP="00DD7EBA">
            <w:pPr>
              <w:spacing w:before="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MC</w:t>
            </w:r>
          </w:p>
        </w:tc>
        <w:tc>
          <w:tcPr>
            <w:tcW w:w="1454" w:type="dxa"/>
          </w:tcPr>
          <w:p w14:paraId="7C6B1D03" w14:textId="774781D7" w:rsidR="00DD7EBA" w:rsidRPr="00B93713" w:rsidRDefault="00DD7EBA" w:rsidP="00DD7EBA">
            <w:pPr>
              <w:jc w:val="center"/>
              <w:rPr>
                <w:rFonts w:ascii="Times New Roman" w:hAnsi="Times New Roman" w:cs="Times New Roman"/>
                <w:sz w:val="20"/>
                <w:szCs w:val="20"/>
                <w:lang w:val="en-US"/>
              </w:rPr>
            </w:pPr>
          </w:p>
          <w:p w14:paraId="3444FEFE" w14:textId="77777777" w:rsidR="00DD7EBA" w:rsidRPr="00B93713" w:rsidRDefault="00DD7EBA" w:rsidP="00DD7EBA">
            <w:pPr>
              <w:spacing w:before="6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Phase II Clinical Trial</w:t>
            </w:r>
          </w:p>
        </w:tc>
        <w:tc>
          <w:tcPr>
            <w:tcW w:w="1056" w:type="dxa"/>
            <w:vAlign w:val="bottom"/>
          </w:tcPr>
          <w:p w14:paraId="55F71656" w14:textId="3FBBB884" w:rsidR="00DD7EBA" w:rsidRPr="00B93713" w:rsidRDefault="00DD7EBA" w:rsidP="00DD7EBA">
            <w:pPr>
              <w:spacing w:after="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42</w:t>
            </w:r>
          </w:p>
        </w:tc>
        <w:tc>
          <w:tcPr>
            <w:tcW w:w="1182" w:type="dxa"/>
          </w:tcPr>
          <w:p w14:paraId="0320C6B3" w14:textId="77777777" w:rsidR="00DD7EBA" w:rsidRPr="00B93713" w:rsidRDefault="00DD7EBA" w:rsidP="00DD7EBA">
            <w:pPr>
              <w:jc w:val="center"/>
              <w:rPr>
                <w:rFonts w:ascii="Times New Roman" w:hAnsi="Times New Roman" w:cs="Times New Roman"/>
                <w:sz w:val="20"/>
                <w:szCs w:val="20"/>
                <w:lang w:val="en-US"/>
              </w:rPr>
            </w:pPr>
          </w:p>
          <w:p w14:paraId="1B737242" w14:textId="77777777" w:rsidR="00DD7EBA" w:rsidRPr="00B93713" w:rsidRDefault="00DD7EBA" w:rsidP="00DD7EBA">
            <w:pPr>
              <w:spacing w:before="240" w:after="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65 (49 – 79)</w:t>
            </w:r>
          </w:p>
        </w:tc>
        <w:tc>
          <w:tcPr>
            <w:tcW w:w="1171" w:type="dxa"/>
          </w:tcPr>
          <w:p w14:paraId="36F30E6B" w14:textId="77777777" w:rsidR="00DD7EBA" w:rsidRPr="00B93713" w:rsidRDefault="00DD7EBA" w:rsidP="00DD7EBA">
            <w:pPr>
              <w:spacing w:before="120"/>
              <w:jc w:val="center"/>
              <w:rPr>
                <w:rFonts w:ascii="Times New Roman" w:hAnsi="Times New Roman" w:cs="Times New Roman"/>
                <w:sz w:val="20"/>
                <w:szCs w:val="20"/>
                <w:lang w:val="en-US"/>
              </w:rPr>
            </w:pPr>
          </w:p>
          <w:p w14:paraId="257CF172" w14:textId="77777777" w:rsidR="00DD7EBA" w:rsidRPr="00B93713" w:rsidRDefault="00DD7EBA" w:rsidP="00DD7EBA">
            <w:pPr>
              <w:spacing w:before="1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85.7</w:t>
            </w:r>
          </w:p>
        </w:tc>
        <w:tc>
          <w:tcPr>
            <w:tcW w:w="1228" w:type="dxa"/>
          </w:tcPr>
          <w:p w14:paraId="45475C55" w14:textId="77777777" w:rsidR="00DD7EBA" w:rsidRPr="00B93713" w:rsidRDefault="00DD7EBA" w:rsidP="00DD7EBA">
            <w:pPr>
              <w:spacing w:before="120"/>
              <w:jc w:val="center"/>
              <w:rPr>
                <w:rFonts w:ascii="Times New Roman" w:hAnsi="Times New Roman" w:cs="Times New Roman"/>
                <w:sz w:val="20"/>
                <w:szCs w:val="20"/>
                <w:lang w:val="en-US"/>
              </w:rPr>
            </w:pPr>
          </w:p>
          <w:p w14:paraId="5DAE1260" w14:textId="77777777" w:rsidR="00DD7EBA" w:rsidRPr="00B93713" w:rsidRDefault="00DD7EBA" w:rsidP="00DD7EBA">
            <w:pPr>
              <w:spacing w:before="1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22.2</w:t>
            </w:r>
          </w:p>
        </w:tc>
        <w:tc>
          <w:tcPr>
            <w:tcW w:w="1228" w:type="dxa"/>
          </w:tcPr>
          <w:p w14:paraId="7A03E37C" w14:textId="77777777" w:rsidR="00DD7EBA" w:rsidRPr="00B93713" w:rsidRDefault="00DD7EBA" w:rsidP="00DD7EBA">
            <w:pPr>
              <w:jc w:val="center"/>
              <w:rPr>
                <w:rFonts w:ascii="Times New Roman" w:hAnsi="Times New Roman" w:cs="Times New Roman"/>
                <w:sz w:val="20"/>
                <w:szCs w:val="20"/>
                <w:lang w:val="en-US"/>
              </w:rPr>
            </w:pPr>
          </w:p>
          <w:p w14:paraId="023AFA7F" w14:textId="4761121B"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 xml:space="preserve">A: </w:t>
            </w:r>
            <w:r w:rsidR="009639E9">
              <w:rPr>
                <w:rFonts w:ascii="Times New Roman" w:hAnsi="Times New Roman" w:cs="Times New Roman"/>
                <w:sz w:val="20"/>
                <w:szCs w:val="20"/>
                <w:lang w:val="en-US"/>
              </w:rPr>
              <w:t>0</w:t>
            </w:r>
          </w:p>
          <w:p w14:paraId="2BA88393" w14:textId="2A5CF0FF"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 xml:space="preserve">B: </w:t>
            </w:r>
            <w:r w:rsidR="009639E9">
              <w:rPr>
                <w:rFonts w:ascii="Times New Roman" w:hAnsi="Times New Roman" w:cs="Times New Roman"/>
                <w:sz w:val="20"/>
                <w:szCs w:val="20"/>
                <w:lang w:val="en-US"/>
              </w:rPr>
              <w:t>28</w:t>
            </w:r>
          </w:p>
          <w:p w14:paraId="7ACC6309"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C: 14</w:t>
            </w:r>
          </w:p>
        </w:tc>
        <w:tc>
          <w:tcPr>
            <w:tcW w:w="1640" w:type="dxa"/>
          </w:tcPr>
          <w:p w14:paraId="0E004FCD" w14:textId="77777777" w:rsidR="00DD7EBA" w:rsidRPr="00B93713" w:rsidRDefault="00DD7EBA" w:rsidP="00DD7EBA">
            <w:pPr>
              <w:jc w:val="center"/>
              <w:rPr>
                <w:rFonts w:ascii="Times New Roman" w:hAnsi="Times New Roman" w:cs="Times New Roman"/>
                <w:sz w:val="20"/>
                <w:szCs w:val="20"/>
                <w:lang w:val="en-US"/>
              </w:rPr>
            </w:pPr>
          </w:p>
          <w:p w14:paraId="3D0224CB" w14:textId="77777777" w:rsidR="00DD7EBA" w:rsidRPr="00B93713" w:rsidRDefault="00DD7EBA" w:rsidP="00DD7EBA">
            <w:pPr>
              <w:jc w:val="center"/>
              <w:rPr>
                <w:rFonts w:ascii="Times New Roman" w:hAnsi="Times New Roman" w:cs="Times New Roman"/>
                <w:sz w:val="20"/>
                <w:szCs w:val="20"/>
                <w:lang w:val="en-US"/>
              </w:rPr>
            </w:pPr>
          </w:p>
          <w:p w14:paraId="164A57DD"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A5: 36</w:t>
            </w:r>
          </w:p>
          <w:p w14:paraId="3D198424"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A6: 6</w:t>
            </w:r>
          </w:p>
        </w:tc>
        <w:tc>
          <w:tcPr>
            <w:tcW w:w="1640" w:type="dxa"/>
          </w:tcPr>
          <w:p w14:paraId="16EF1E2A" w14:textId="77777777" w:rsidR="00DD7EBA" w:rsidRPr="00B93713" w:rsidRDefault="00DD7EBA" w:rsidP="00DD7EBA">
            <w:pPr>
              <w:jc w:val="center"/>
              <w:rPr>
                <w:rFonts w:ascii="Times New Roman" w:hAnsi="Times New Roman" w:cs="Times New Roman"/>
                <w:sz w:val="20"/>
                <w:szCs w:val="20"/>
                <w:lang w:val="en-US"/>
              </w:rPr>
            </w:pPr>
          </w:p>
          <w:p w14:paraId="6E64F6DD"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LR: 7</w:t>
            </w:r>
          </w:p>
          <w:p w14:paraId="325F72AC"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PA: 6</w:t>
            </w:r>
          </w:p>
          <w:p w14:paraId="12BF0A07"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TACE: 11</w:t>
            </w:r>
          </w:p>
          <w:p w14:paraId="45F06457"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Sorafenib: 6</w:t>
            </w:r>
          </w:p>
        </w:tc>
        <w:tc>
          <w:tcPr>
            <w:tcW w:w="2008" w:type="dxa"/>
          </w:tcPr>
          <w:p w14:paraId="4D310669" w14:textId="47D327B6"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Nivolumab (240 mg IV every 14 days)</w:t>
            </w:r>
          </w:p>
        </w:tc>
        <w:tc>
          <w:tcPr>
            <w:tcW w:w="2008" w:type="dxa"/>
          </w:tcPr>
          <w:p w14:paraId="38E7B9B4" w14:textId="2AEC413C" w:rsidR="00DD7EBA" w:rsidRPr="00B93713" w:rsidRDefault="00DD7EBA" w:rsidP="00DD7EBA">
            <w:pPr>
              <w:spacing w:before="240"/>
              <w:jc w:val="center"/>
              <w:rPr>
                <w:rFonts w:ascii="Times New Roman" w:hAnsi="Times New Roman" w:cs="Times New Roman"/>
                <w:sz w:val="20"/>
                <w:szCs w:val="20"/>
                <w:lang w:val="en-US"/>
              </w:rPr>
            </w:pPr>
            <w:r>
              <w:rPr>
                <w:rFonts w:ascii="Times New Roman" w:hAnsi="Times New Roman" w:cs="Times New Roman"/>
                <w:sz w:val="20"/>
                <w:szCs w:val="20"/>
                <w:lang w:val="en-US"/>
              </w:rPr>
              <w:t>ICI three</w:t>
            </w:r>
            <w:r w:rsidRPr="006D241B">
              <w:rPr>
                <w:rFonts w:ascii="Times New Roman" w:hAnsi="Times New Roman" w:cs="Times New Roman"/>
                <w:sz w:val="20"/>
                <w:szCs w:val="20"/>
                <w:lang w:val="en-US"/>
              </w:rPr>
              <w:t xml:space="preserve"> weeks after SIRT</w:t>
            </w:r>
          </w:p>
        </w:tc>
      </w:tr>
      <w:tr w:rsidR="00DD7EBA" w:rsidRPr="00084802" w14:paraId="12CD0A67" w14:textId="2CCC0A8E" w:rsidTr="009F3F93">
        <w:trPr>
          <w:trHeight w:val="427"/>
        </w:trPr>
        <w:tc>
          <w:tcPr>
            <w:tcW w:w="1361" w:type="dxa"/>
            <w:vAlign w:val="bottom"/>
          </w:tcPr>
          <w:p w14:paraId="799E6C37" w14:textId="6718AFB3" w:rsidR="00DD7EBA" w:rsidRPr="00B93713" w:rsidRDefault="00DD7EBA" w:rsidP="00DD7EBA">
            <w:pPr>
              <w:spacing w:after="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 xml:space="preserve">Lee YB </w:t>
            </w:r>
            <w:r w:rsidRPr="00B93713">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{"citationID":"0BwhTWb6","properties":{"formattedCitation":"[37]","plainCitation":"[37]","noteIndex":0},"citationItems":[{"id":12896,"uris":["http://zotero.org/groups/5633822/items/BDAGPW8U"],"itemData":{"id":12896,"type":"article-journal","abstract":"PURPOSE: Synergistic effect of radiotherapy and immunotherapy for the treatment of hepatocellular carcinoma (HCC) has been reported. This phase I/IIa pilot trial  evaluated preliminary efficacy and safety of combination of radioembolization  with yttrium-90 microspheres (Y90-radioembolization) and durvalumab in patients  with locally advanced unresectable HCC. PATIENTS AND METHODS: Patients with  Child-Pugh score ≤ 7 and locally advanced HCC, defined as Barcelona Clinic Liver  Cancer (BCLC) stage B HCC or BCLC-C disease without extrahepatic metastases,  received Y90-radioembolization followed by intravenous durvalumab 1,500 mg 7 to  14 days after Y90-radioembolization and every 4 weeks thereafter. Primary  endpoint was time to progression (TTP) assessed by modified RECIST (mRECIST).  Secondary endpoints included overall survival (OS), progression-free survival  (PFS), objective response rate (ORR) determined by mRECIST, and safety. RESULTS:  All 24 patients enrolled received Y90-radioembolization and 23 received at least  one dose of durvalumab. Median follow-up duration was 19.0 months (range,  2.2-24.2). Median TTP was 15.2 months [95% confidence interval (CI), 6.1-not  estimated]. Median OS was not reached and 18-month OS rate was 58.3% (95% CI,  36.4-75.0). Median PFS was 6.9 months (95% CI, 5.4-15.2). Seven (29.2%) patients  had a complete response and 13 (54.2%) had a partial response; ORR was 83.3% (95%  CI, 62.6-95.3). Eleven (47.8%) patients experienced any-grade treatment-related  adverse events. Two (8.7%) patients had grade 3 treatment-related adverse events  (neutropenia and fever). None experienced any treatment-related serious adverse  events. CONCLUSIONS: In patients with locally advanced unresectable HCC, the  combination of Y90-radioembolization and durvalumab demonstrated promising  efficacy and safety, warranting further evaluation in large-scale controlled  trials.","container-title":"Clinical cancer research : an official journal of the American Association for Cancer Research","DOI":"10.1158/1078-0432.CCR-23-0581","ISSN":"1557-3265 1078-0432","issue":"18","journalAbbreviation":"Clin Cancer Res","language":"eng","license":"©2023 American Association for Cancer Research.","note":"publisher-place: United States\nPMID: 37459133","page":"3650-3658","title":"A Phase I/IIa Trial of Yttrium-90 Radioembolization in Combination with Durvalumab for Locally Advanced Unresectable Hepatocellular Carcinoma.","volume":"29","author":[{"family":"Lee","given":"Yun Bin"},{"family":"Nam","given":"Joon Yeul"},{"family":"Cho","given":"Eun Ju"},{"family":"Lee","given":"Jeong-Hoon"},{"family":"Yu","given":"Su Jong"},{"family":"Kim","given":"Hyo-Cheol"},{"family":"Paeng","given":"Jin Chul"},{"family":"Yoon","given":"Jung-Hwan"},{"family":"Kim","given":"Yoon Jun"}],"issued":{"date-parts":[["2023",9,15]]}}}],"schema":"https://github.com/citation-style-language/schema/raw/master/csl-citation.json"} </w:instrText>
            </w:r>
            <w:r w:rsidRPr="00B93713">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[37]</w:t>
            </w:r>
            <w:r w:rsidRPr="00B93713">
              <w:rPr>
                <w:rFonts w:ascii="Times New Roman" w:hAnsi="Times New Roman" w:cs="Times New Roman"/>
                <w:sz w:val="20"/>
                <w:szCs w:val="20"/>
                <w:lang w:val="en-US"/>
              </w:rPr>
              <w:fldChar w:fldCharType="end"/>
            </w:r>
          </w:p>
        </w:tc>
        <w:tc>
          <w:tcPr>
            <w:tcW w:w="1228" w:type="dxa"/>
          </w:tcPr>
          <w:p w14:paraId="4DAA79BC" w14:textId="77777777"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2023</w:t>
            </w:r>
          </w:p>
        </w:tc>
        <w:tc>
          <w:tcPr>
            <w:tcW w:w="1365" w:type="dxa"/>
          </w:tcPr>
          <w:p w14:paraId="200CEF99" w14:textId="77777777" w:rsidR="00DD7EBA" w:rsidRPr="00B93713" w:rsidRDefault="00DD7EBA" w:rsidP="00DD7EBA">
            <w:pPr>
              <w:jc w:val="center"/>
              <w:rPr>
                <w:rFonts w:ascii="Times New Roman" w:hAnsi="Times New Roman" w:cs="Times New Roman"/>
                <w:sz w:val="20"/>
                <w:szCs w:val="20"/>
                <w:lang w:val="en-US"/>
              </w:rPr>
            </w:pPr>
          </w:p>
          <w:p w14:paraId="2B50934E" w14:textId="77777777" w:rsidR="00DD7EBA" w:rsidRPr="00B93713" w:rsidRDefault="00DD7EBA" w:rsidP="00DD7EBA">
            <w:pPr>
              <w:spacing w:after="1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Republic of Korea</w:t>
            </w:r>
          </w:p>
        </w:tc>
        <w:tc>
          <w:tcPr>
            <w:tcW w:w="1283" w:type="dxa"/>
          </w:tcPr>
          <w:p w14:paraId="4D2FDF31" w14:textId="771B4FE8" w:rsidR="00DD7EBA" w:rsidRPr="00B93713" w:rsidRDefault="00DD7EBA" w:rsidP="00DD7EBA">
            <w:pPr>
              <w:jc w:val="center"/>
              <w:rPr>
                <w:rFonts w:ascii="Times New Roman" w:hAnsi="Times New Roman" w:cs="Times New Roman"/>
                <w:sz w:val="20"/>
                <w:szCs w:val="20"/>
                <w:lang w:val="en-US"/>
              </w:rPr>
            </w:pPr>
          </w:p>
          <w:p w14:paraId="40923C0F"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SC</w:t>
            </w:r>
          </w:p>
        </w:tc>
        <w:tc>
          <w:tcPr>
            <w:tcW w:w="1454" w:type="dxa"/>
          </w:tcPr>
          <w:p w14:paraId="4516DC72" w14:textId="77777777" w:rsidR="00DD7EBA" w:rsidRPr="00B93713" w:rsidRDefault="00DD7EBA" w:rsidP="00DD7EBA">
            <w:pPr>
              <w:jc w:val="center"/>
              <w:rPr>
                <w:rFonts w:ascii="Times New Roman" w:hAnsi="Times New Roman" w:cs="Times New Roman"/>
                <w:sz w:val="20"/>
                <w:szCs w:val="20"/>
                <w:lang w:val="en-US"/>
              </w:rPr>
            </w:pPr>
          </w:p>
          <w:p w14:paraId="1913E8D1" w14:textId="21BCCAA4"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Phase I/</w:t>
            </w:r>
            <w:proofErr w:type="spellStart"/>
            <w:r w:rsidRPr="00B93713">
              <w:rPr>
                <w:rFonts w:ascii="Times New Roman" w:hAnsi="Times New Roman" w:cs="Times New Roman"/>
                <w:sz w:val="20"/>
                <w:szCs w:val="20"/>
                <w:lang w:val="en-US"/>
              </w:rPr>
              <w:t>IIa</w:t>
            </w:r>
            <w:proofErr w:type="spellEnd"/>
            <w:r w:rsidRPr="00B93713">
              <w:rPr>
                <w:rFonts w:ascii="Times New Roman" w:hAnsi="Times New Roman" w:cs="Times New Roman"/>
                <w:sz w:val="20"/>
                <w:szCs w:val="20"/>
                <w:lang w:val="en-US"/>
              </w:rPr>
              <w:t xml:space="preserve"> Pilot Clinical Trial</w:t>
            </w:r>
          </w:p>
        </w:tc>
        <w:tc>
          <w:tcPr>
            <w:tcW w:w="1056" w:type="dxa"/>
            <w:vAlign w:val="bottom"/>
          </w:tcPr>
          <w:p w14:paraId="2BD766E1" w14:textId="727077EA" w:rsidR="00DD7EBA" w:rsidRPr="00B93713" w:rsidRDefault="00DD7EBA" w:rsidP="00DD7EBA">
            <w:pPr>
              <w:spacing w:after="36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23</w:t>
            </w:r>
          </w:p>
        </w:tc>
        <w:tc>
          <w:tcPr>
            <w:tcW w:w="1182" w:type="dxa"/>
          </w:tcPr>
          <w:p w14:paraId="01928E20" w14:textId="77777777" w:rsidR="00DD7EBA" w:rsidRPr="00B93713" w:rsidRDefault="00DD7EBA" w:rsidP="00DD7EBA">
            <w:pPr>
              <w:jc w:val="center"/>
              <w:rPr>
                <w:rFonts w:ascii="Times New Roman" w:hAnsi="Times New Roman" w:cs="Times New Roman"/>
                <w:sz w:val="20"/>
                <w:szCs w:val="20"/>
                <w:lang w:val="en-US"/>
              </w:rPr>
            </w:pPr>
          </w:p>
          <w:p w14:paraId="6E630091"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63 (32 – 80)</w:t>
            </w:r>
          </w:p>
        </w:tc>
        <w:tc>
          <w:tcPr>
            <w:tcW w:w="1171" w:type="dxa"/>
          </w:tcPr>
          <w:p w14:paraId="6719BB8D" w14:textId="77777777"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87.5</w:t>
            </w:r>
          </w:p>
        </w:tc>
        <w:tc>
          <w:tcPr>
            <w:tcW w:w="1228" w:type="dxa"/>
          </w:tcPr>
          <w:p w14:paraId="613D05C9" w14:textId="77777777"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19</w:t>
            </w:r>
          </w:p>
        </w:tc>
        <w:tc>
          <w:tcPr>
            <w:tcW w:w="1228" w:type="dxa"/>
          </w:tcPr>
          <w:p w14:paraId="7D13C9A1" w14:textId="77777777" w:rsidR="00DD7EBA" w:rsidRPr="00B93713" w:rsidRDefault="00DD7EBA" w:rsidP="00DD7EBA">
            <w:pPr>
              <w:jc w:val="center"/>
              <w:rPr>
                <w:rFonts w:ascii="Times New Roman" w:hAnsi="Times New Roman" w:cs="Times New Roman"/>
                <w:sz w:val="20"/>
                <w:szCs w:val="20"/>
                <w:lang w:val="en-US"/>
              </w:rPr>
            </w:pPr>
          </w:p>
          <w:p w14:paraId="7B2B2EFA"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0</w:t>
            </w:r>
          </w:p>
          <w:p w14:paraId="42B63903"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 8</w:t>
            </w:r>
          </w:p>
          <w:p w14:paraId="63B5FC3C"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C: 15</w:t>
            </w:r>
          </w:p>
        </w:tc>
        <w:tc>
          <w:tcPr>
            <w:tcW w:w="1640" w:type="dxa"/>
          </w:tcPr>
          <w:p w14:paraId="579A62F6" w14:textId="77777777" w:rsidR="00DD7EBA" w:rsidRPr="00B93713" w:rsidRDefault="00DD7EBA" w:rsidP="00DD7EBA">
            <w:pPr>
              <w:jc w:val="center"/>
              <w:rPr>
                <w:rFonts w:ascii="Times New Roman" w:hAnsi="Times New Roman" w:cs="Times New Roman"/>
                <w:sz w:val="20"/>
                <w:szCs w:val="20"/>
                <w:lang w:val="en-US"/>
              </w:rPr>
            </w:pPr>
          </w:p>
          <w:p w14:paraId="58D3570D"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A5: 20</w:t>
            </w:r>
          </w:p>
          <w:p w14:paraId="3EBF65D7"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A6: 3</w:t>
            </w:r>
          </w:p>
        </w:tc>
        <w:tc>
          <w:tcPr>
            <w:tcW w:w="1640" w:type="dxa"/>
          </w:tcPr>
          <w:p w14:paraId="4FB2B3F5" w14:textId="77777777" w:rsidR="00DD7EBA" w:rsidRPr="00B93713" w:rsidRDefault="00DD7EBA" w:rsidP="00DD7EBA">
            <w:pPr>
              <w:jc w:val="center"/>
              <w:rPr>
                <w:rFonts w:ascii="Times New Roman" w:hAnsi="Times New Roman" w:cs="Times New Roman"/>
                <w:sz w:val="20"/>
                <w:szCs w:val="20"/>
                <w:lang w:val="en-US"/>
              </w:rPr>
            </w:pPr>
          </w:p>
          <w:p w14:paraId="15AEA974"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LR: 1</w:t>
            </w:r>
          </w:p>
          <w:p w14:paraId="68A78CBF"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TACE: 3</w:t>
            </w:r>
          </w:p>
          <w:p w14:paraId="7ECF71C5" w14:textId="77777777" w:rsidR="00DD7EBA" w:rsidRPr="00B93713" w:rsidRDefault="00DD7EBA" w:rsidP="00DD7EBA">
            <w:pPr>
              <w:jc w:val="center"/>
              <w:rPr>
                <w:rFonts w:ascii="Times New Roman" w:hAnsi="Times New Roman" w:cs="Times New Roman"/>
                <w:sz w:val="20"/>
                <w:szCs w:val="20"/>
                <w:lang w:val="en-US"/>
              </w:rPr>
            </w:pPr>
          </w:p>
        </w:tc>
        <w:tc>
          <w:tcPr>
            <w:tcW w:w="2008" w:type="dxa"/>
          </w:tcPr>
          <w:p w14:paraId="2A3372EF" w14:textId="0AA74EEE"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Durvalumab (1500 mg IV)</w:t>
            </w:r>
          </w:p>
        </w:tc>
        <w:tc>
          <w:tcPr>
            <w:tcW w:w="2008" w:type="dxa"/>
          </w:tcPr>
          <w:p w14:paraId="2ABDAD19" w14:textId="4E5E5104" w:rsidR="00DD7EBA" w:rsidRPr="00B93713" w:rsidRDefault="00DD7EBA" w:rsidP="00DD7EBA">
            <w:pPr>
              <w:spacing w:before="240"/>
              <w:jc w:val="center"/>
              <w:rPr>
                <w:rFonts w:ascii="Times New Roman" w:hAnsi="Times New Roman" w:cs="Times New Roman"/>
                <w:sz w:val="20"/>
                <w:szCs w:val="20"/>
                <w:lang w:val="en-US"/>
              </w:rPr>
            </w:pPr>
            <w:r>
              <w:rPr>
                <w:rFonts w:ascii="Times New Roman" w:hAnsi="Times New Roman" w:cs="Times New Roman"/>
                <w:sz w:val="20"/>
                <w:szCs w:val="20"/>
                <w:lang w:val="en-US"/>
              </w:rPr>
              <w:t xml:space="preserve">ICI 7 </w:t>
            </w:r>
            <w:r w:rsidRPr="006D241B">
              <w:rPr>
                <w:rFonts w:ascii="Times New Roman" w:hAnsi="Times New Roman" w:cs="Times New Roman"/>
                <w:sz w:val="20"/>
                <w:szCs w:val="20"/>
                <w:lang w:val="en-US"/>
              </w:rPr>
              <w:t>to 14 days after SIRT</w:t>
            </w:r>
          </w:p>
        </w:tc>
      </w:tr>
      <w:tr w:rsidR="00DD7EBA" w:rsidRPr="00084802" w14:paraId="31EFFE57" w14:textId="49A664CF" w:rsidTr="009F3F93">
        <w:trPr>
          <w:trHeight w:val="1216"/>
        </w:trPr>
        <w:tc>
          <w:tcPr>
            <w:tcW w:w="1361" w:type="dxa"/>
            <w:vAlign w:val="bottom"/>
          </w:tcPr>
          <w:p w14:paraId="5F14C125" w14:textId="05550A7A" w:rsidR="00DD7EBA" w:rsidRPr="00B93713" w:rsidRDefault="00DD7EBA" w:rsidP="00DD7EBA">
            <w:pPr>
              <w:spacing w:after="60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 xml:space="preserve">Marinelli B </w:t>
            </w:r>
            <w:r w:rsidRPr="00B93713">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{"citationID":"fk1FHn84","properties":{"formattedCitation":"[38]","plainCitation":"[38]","noteIndex":0},"citationItems":[{"id":13030,"uris":["http://zotero.org/groups/5633822/items/BIRVNNSA"],"itemData":{"id":13030,"type":"article-journal","abstract":"PURPOSE: To assess the safety of locoregional treatment (LRT) combined with nivolumab for intermediate and advanced hepatocellular carcinoma (HCC). MATERIALS  AND METHODS: A single-center retrospective review included 29 patients undergoing  41 LRTs-transarterial chemoembolization or yttrium-90 transarterial  radioembolization-60 days before or concurrently with nivolumab. Demographic,  clinical, and laboratory values and adverse events were reviewed before and after  nivolumab initiation and after each LRT. Treatment response and time to  progression were assessed using Modified Response Evaluation Criteria in Solid  Tumors. Clinical events, including nivolumab termination, death, and time of last  follow-up, were assessed. RESULTS: Over a median nivolumab course of 8.1 months  (range, 1.0-30) with a median of 14.2 2-week cycles (range, 1-53), predominantly  Child-Pugh A (22/29) patients-12 Barcelona Clinic Liver Cancer (BCLC) B and 17  BCLC C-underwent 20 transarterial chemoembolization and 21 transarterial  radioembolization LRTs at a median of 67 days (range, 48-609) after nivolumab  initiation. Ten patients underwent multiple LRTs. During a median follow-up of  11.5 months (range, 1.8-35.1), no grade III/IV adverse events attributable to  nivolumab were observed. There were five instances of grade III/IV  hypoalbuminemia or hyperbilirubinemia within 3 months after LRT. There were no  nivolumab-related deaths, and 30-day mortality after LRT was 0%. CONCLUSIONS:  LRTs performed concurrently with nivolumab immunotherapy demonstrate an  acceptable safety profile in patients with intermediate and advanced HCC.","container-title":"Journal of vascular and interventional radiology : JVIR","DOI":"10.1016/j.jvir.2020.07.009","ISSN":"1535-7732 1051-0443","issue":"11","journalAbbreviation":"J Vasc Interv Radiol","language":"eng","license":"Copyright © 2020 SIR. Published by Elsevier Inc. All rights reserved.","note":"publisher-place: United States\nPMID: 33012649","page":"1729-1738.e1","title":"Safety and Efficacy of Locoregional Treatment during Immunotherapy with Nivolumab for Hepatocellular Carcinoma: A Retrospective Study of 41 Interventions in 29  Patients.","volume":"31","author":[{"family":"Marinelli","given":"Brett"},{"family":"Cedillo","given":"Mario"},{"family":"Pasik","given":"Sara D."},{"family":"Charles","given":"Dudley"},{"family":"Murthy","given":"Shashi"},{"family":"Patel","given":"Rahul S."},{"family":"Fischman","given":"Aaron"},{"family":"Ranade","given":"Monda"},{"family":"Bishay","given":"Vivian"},{"family":"Nowakowski","given":"Scott"},{"family":"Sung","given":"Max"},{"family":"Marron","given":"Thomas"},{"family":"Lookstein","given":"Robert"},{"family":"Schwartz","given":"Myron"},{"family":"Kim","given":"Edward"}],"issued":{"date-parts":[["2020",11]]}}}],"schema":"https://github.com/citation-style-language/schema/raw/master/csl-citation.json"} </w:instrText>
            </w:r>
            <w:r w:rsidRPr="00B93713">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[38]</w:t>
            </w:r>
            <w:r w:rsidRPr="00B93713">
              <w:rPr>
                <w:rFonts w:ascii="Times New Roman" w:hAnsi="Times New Roman" w:cs="Times New Roman"/>
                <w:sz w:val="20"/>
                <w:szCs w:val="20"/>
                <w:lang w:val="en-US"/>
              </w:rPr>
              <w:fldChar w:fldCharType="end"/>
            </w:r>
          </w:p>
        </w:tc>
        <w:tc>
          <w:tcPr>
            <w:tcW w:w="1228" w:type="dxa"/>
          </w:tcPr>
          <w:p w14:paraId="3A429D55" w14:textId="77777777" w:rsidR="00DD7EBA" w:rsidRPr="00B93713" w:rsidRDefault="00DD7EBA" w:rsidP="00DD7EBA">
            <w:pPr>
              <w:jc w:val="center"/>
              <w:rPr>
                <w:rFonts w:ascii="Times New Roman" w:hAnsi="Times New Roman" w:cs="Times New Roman"/>
                <w:sz w:val="20"/>
                <w:szCs w:val="20"/>
                <w:lang w:val="en-US"/>
              </w:rPr>
            </w:pPr>
          </w:p>
          <w:p w14:paraId="289A8725" w14:textId="77777777" w:rsidR="00DD7EBA" w:rsidRPr="00B93713" w:rsidRDefault="00DD7EBA" w:rsidP="00DD7EBA">
            <w:pPr>
              <w:jc w:val="center"/>
              <w:rPr>
                <w:rFonts w:ascii="Times New Roman" w:hAnsi="Times New Roman" w:cs="Times New Roman"/>
                <w:sz w:val="20"/>
                <w:szCs w:val="20"/>
                <w:lang w:val="en-US"/>
              </w:rPr>
            </w:pPr>
          </w:p>
          <w:p w14:paraId="4B3F51EF" w14:textId="77777777" w:rsidR="00DD7EBA" w:rsidRPr="00B93713" w:rsidRDefault="00DD7EBA" w:rsidP="00DD7EBA">
            <w:pPr>
              <w:jc w:val="center"/>
              <w:rPr>
                <w:rFonts w:ascii="Times New Roman" w:hAnsi="Times New Roman" w:cs="Times New Roman"/>
                <w:sz w:val="20"/>
                <w:szCs w:val="20"/>
                <w:lang w:val="en-US"/>
              </w:rPr>
            </w:pPr>
          </w:p>
          <w:p w14:paraId="57372034"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2020</w:t>
            </w:r>
          </w:p>
        </w:tc>
        <w:tc>
          <w:tcPr>
            <w:tcW w:w="1365" w:type="dxa"/>
          </w:tcPr>
          <w:p w14:paraId="78DB57AF" w14:textId="77777777" w:rsidR="00DD7EBA" w:rsidRPr="00B93713" w:rsidRDefault="00DD7EBA" w:rsidP="00DD7EBA">
            <w:pPr>
              <w:spacing w:before="7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United States</w:t>
            </w:r>
          </w:p>
          <w:p w14:paraId="11BFCAE4" w14:textId="77777777" w:rsidR="00DD7EBA" w:rsidRPr="00B93713" w:rsidRDefault="00DD7EBA" w:rsidP="00DD7EBA">
            <w:pPr>
              <w:jc w:val="center"/>
              <w:rPr>
                <w:rFonts w:ascii="Times New Roman" w:hAnsi="Times New Roman" w:cs="Times New Roman"/>
                <w:sz w:val="20"/>
                <w:szCs w:val="20"/>
                <w:lang w:val="en-US"/>
              </w:rPr>
            </w:pPr>
          </w:p>
          <w:p w14:paraId="05D7391D" w14:textId="77777777" w:rsidR="00DD7EBA" w:rsidRPr="00B93713" w:rsidRDefault="00DD7EBA" w:rsidP="00DD7EBA">
            <w:pPr>
              <w:jc w:val="center"/>
              <w:rPr>
                <w:rFonts w:ascii="Times New Roman" w:hAnsi="Times New Roman" w:cs="Times New Roman"/>
                <w:sz w:val="20"/>
                <w:szCs w:val="20"/>
                <w:lang w:val="en-US"/>
              </w:rPr>
            </w:pPr>
          </w:p>
        </w:tc>
        <w:tc>
          <w:tcPr>
            <w:tcW w:w="1283" w:type="dxa"/>
          </w:tcPr>
          <w:p w14:paraId="2CB6CE6D" w14:textId="4394E09C" w:rsidR="00DD7EBA" w:rsidRPr="00B93713" w:rsidRDefault="00DD7EBA" w:rsidP="00DD7EBA">
            <w:pPr>
              <w:jc w:val="center"/>
              <w:rPr>
                <w:rFonts w:ascii="Times New Roman" w:hAnsi="Times New Roman" w:cs="Times New Roman"/>
                <w:sz w:val="20"/>
                <w:szCs w:val="20"/>
                <w:lang w:val="en-US"/>
              </w:rPr>
            </w:pPr>
          </w:p>
          <w:p w14:paraId="7C19EA9C" w14:textId="34A3F009" w:rsidR="00DD7EBA" w:rsidRPr="00B93713" w:rsidRDefault="00DD7EBA" w:rsidP="00DD7EBA">
            <w:pPr>
              <w:jc w:val="center"/>
              <w:rPr>
                <w:rFonts w:ascii="Times New Roman" w:hAnsi="Times New Roman" w:cs="Times New Roman"/>
                <w:sz w:val="20"/>
                <w:szCs w:val="20"/>
                <w:lang w:val="en-US"/>
              </w:rPr>
            </w:pPr>
          </w:p>
          <w:p w14:paraId="094A59A9" w14:textId="66B54A29" w:rsidR="00DD7EBA" w:rsidRPr="00B93713" w:rsidRDefault="00DD7EBA" w:rsidP="00DD7EBA">
            <w:pPr>
              <w:spacing w:before="1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SC</w:t>
            </w:r>
          </w:p>
          <w:p w14:paraId="045E6CF5" w14:textId="77777777" w:rsidR="00DD7EBA" w:rsidRPr="00B93713" w:rsidRDefault="00DD7EBA" w:rsidP="00DD7EBA">
            <w:pPr>
              <w:jc w:val="center"/>
              <w:rPr>
                <w:rFonts w:ascii="Times New Roman" w:hAnsi="Times New Roman" w:cs="Times New Roman"/>
                <w:sz w:val="20"/>
                <w:szCs w:val="20"/>
                <w:lang w:val="en-US"/>
              </w:rPr>
            </w:pPr>
          </w:p>
        </w:tc>
        <w:tc>
          <w:tcPr>
            <w:tcW w:w="1454" w:type="dxa"/>
          </w:tcPr>
          <w:p w14:paraId="3586AE33" w14:textId="31CD2ADC" w:rsidR="00DD7EBA" w:rsidRPr="00B93713" w:rsidRDefault="00DD7EBA" w:rsidP="00DD7EBA">
            <w:pPr>
              <w:jc w:val="center"/>
              <w:rPr>
                <w:rFonts w:ascii="Times New Roman" w:hAnsi="Times New Roman" w:cs="Times New Roman"/>
                <w:sz w:val="20"/>
                <w:szCs w:val="20"/>
                <w:lang w:val="en-US"/>
              </w:rPr>
            </w:pPr>
          </w:p>
          <w:p w14:paraId="0AD5A10A" w14:textId="24C5D6C2" w:rsidR="00DD7EBA" w:rsidRPr="00B93713" w:rsidRDefault="00DD7EBA" w:rsidP="00DD7EBA">
            <w:pPr>
              <w:spacing w:before="20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Retrospective Cohort</w:t>
            </w:r>
          </w:p>
        </w:tc>
        <w:tc>
          <w:tcPr>
            <w:tcW w:w="1056" w:type="dxa"/>
            <w:vAlign w:val="bottom"/>
          </w:tcPr>
          <w:p w14:paraId="408FAD30" w14:textId="32CD246B" w:rsidR="00DD7EBA" w:rsidRPr="00B93713" w:rsidRDefault="00DD7EBA" w:rsidP="00DD7EBA">
            <w:pPr>
              <w:spacing w:after="7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21</w:t>
            </w:r>
          </w:p>
        </w:tc>
        <w:tc>
          <w:tcPr>
            <w:tcW w:w="1182" w:type="dxa"/>
          </w:tcPr>
          <w:p w14:paraId="62F3D8E3" w14:textId="77777777" w:rsidR="00DD7EBA" w:rsidRPr="00B93713" w:rsidRDefault="00DD7EBA" w:rsidP="00DD7EBA">
            <w:pPr>
              <w:jc w:val="center"/>
              <w:rPr>
                <w:rFonts w:ascii="Times New Roman" w:hAnsi="Times New Roman" w:cs="Times New Roman"/>
                <w:sz w:val="20"/>
                <w:szCs w:val="20"/>
                <w:lang w:val="en-US"/>
              </w:rPr>
            </w:pPr>
          </w:p>
          <w:p w14:paraId="3FD45D1F" w14:textId="77777777"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58.7 (28 – 72)</w:t>
            </w:r>
          </w:p>
          <w:p w14:paraId="5105543D" w14:textId="77777777" w:rsidR="00DD7EBA" w:rsidRPr="00B93713" w:rsidRDefault="00DD7EBA" w:rsidP="00DD7EBA">
            <w:pPr>
              <w:jc w:val="center"/>
              <w:rPr>
                <w:rFonts w:ascii="Times New Roman" w:hAnsi="Times New Roman" w:cs="Times New Roman"/>
                <w:sz w:val="20"/>
                <w:szCs w:val="20"/>
                <w:lang w:val="en-US"/>
              </w:rPr>
            </w:pPr>
          </w:p>
        </w:tc>
        <w:tc>
          <w:tcPr>
            <w:tcW w:w="1171" w:type="dxa"/>
          </w:tcPr>
          <w:p w14:paraId="547D8A2A" w14:textId="77777777" w:rsidR="00DD7EBA" w:rsidRPr="00B93713" w:rsidRDefault="00DD7EBA" w:rsidP="00DD7EBA">
            <w:pPr>
              <w:jc w:val="center"/>
              <w:rPr>
                <w:rFonts w:ascii="Times New Roman" w:hAnsi="Times New Roman" w:cs="Times New Roman"/>
                <w:sz w:val="20"/>
                <w:szCs w:val="20"/>
                <w:lang w:val="en-US"/>
              </w:rPr>
            </w:pPr>
          </w:p>
          <w:p w14:paraId="6F2A5D93" w14:textId="77777777" w:rsidR="00DD7EBA" w:rsidRPr="00B93713" w:rsidRDefault="00DD7EBA" w:rsidP="00DD7EBA">
            <w:pPr>
              <w:jc w:val="center"/>
              <w:rPr>
                <w:rFonts w:ascii="Times New Roman" w:hAnsi="Times New Roman" w:cs="Times New Roman"/>
                <w:sz w:val="20"/>
                <w:szCs w:val="20"/>
                <w:lang w:val="en-US"/>
              </w:rPr>
            </w:pPr>
          </w:p>
          <w:p w14:paraId="4754B4F5"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89.7</w:t>
            </w:r>
          </w:p>
          <w:p w14:paraId="17AEEBB4" w14:textId="77777777" w:rsidR="00DD7EBA" w:rsidRPr="00B93713" w:rsidRDefault="00DD7EBA" w:rsidP="00DD7EBA">
            <w:pPr>
              <w:jc w:val="center"/>
              <w:rPr>
                <w:rFonts w:ascii="Times New Roman" w:hAnsi="Times New Roman" w:cs="Times New Roman"/>
                <w:sz w:val="20"/>
                <w:szCs w:val="20"/>
                <w:lang w:val="en-US"/>
              </w:rPr>
            </w:pPr>
          </w:p>
        </w:tc>
        <w:tc>
          <w:tcPr>
            <w:tcW w:w="1228" w:type="dxa"/>
          </w:tcPr>
          <w:p w14:paraId="2C9523EB" w14:textId="77777777" w:rsidR="00DD7EBA" w:rsidRPr="00B93713" w:rsidRDefault="00DD7EBA" w:rsidP="00DD7EBA">
            <w:pPr>
              <w:jc w:val="center"/>
              <w:rPr>
                <w:rFonts w:ascii="Times New Roman" w:hAnsi="Times New Roman" w:cs="Times New Roman"/>
                <w:sz w:val="20"/>
                <w:szCs w:val="20"/>
                <w:lang w:val="en-US"/>
              </w:rPr>
            </w:pPr>
          </w:p>
          <w:p w14:paraId="708FCBCE" w14:textId="77777777" w:rsidR="00DD7EBA" w:rsidRPr="00B93713" w:rsidRDefault="00DD7EBA" w:rsidP="00DD7EBA">
            <w:pPr>
              <w:jc w:val="center"/>
              <w:rPr>
                <w:rFonts w:ascii="Times New Roman" w:hAnsi="Times New Roman" w:cs="Times New Roman"/>
                <w:sz w:val="20"/>
                <w:szCs w:val="20"/>
                <w:lang w:val="en-US"/>
              </w:rPr>
            </w:pPr>
          </w:p>
          <w:p w14:paraId="578A8B15"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11.5</w:t>
            </w:r>
          </w:p>
        </w:tc>
        <w:tc>
          <w:tcPr>
            <w:tcW w:w="1228" w:type="dxa"/>
          </w:tcPr>
          <w:p w14:paraId="79067805" w14:textId="77777777" w:rsidR="00DD7EBA" w:rsidRPr="00B93713" w:rsidRDefault="00DD7EBA" w:rsidP="00DD7EBA">
            <w:pPr>
              <w:jc w:val="center"/>
              <w:rPr>
                <w:rFonts w:ascii="Times New Roman" w:hAnsi="Times New Roman" w:cs="Times New Roman"/>
                <w:sz w:val="20"/>
                <w:szCs w:val="20"/>
                <w:lang w:val="en-US"/>
              </w:rPr>
            </w:pPr>
          </w:p>
          <w:p w14:paraId="08375E64" w14:textId="77777777" w:rsidR="00DD7EBA" w:rsidRPr="00B93713" w:rsidRDefault="00DD7EBA" w:rsidP="00DD7EBA">
            <w:pPr>
              <w:jc w:val="center"/>
              <w:rPr>
                <w:rFonts w:ascii="Times New Roman" w:hAnsi="Times New Roman" w:cs="Times New Roman"/>
                <w:sz w:val="20"/>
                <w:szCs w:val="20"/>
                <w:lang w:val="en-US"/>
              </w:rPr>
            </w:pPr>
          </w:p>
          <w:p w14:paraId="4F2CDE7F"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0</w:t>
            </w:r>
          </w:p>
          <w:p w14:paraId="07608282"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 6</w:t>
            </w:r>
          </w:p>
          <w:p w14:paraId="1C7B7CEF"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C: 15</w:t>
            </w:r>
          </w:p>
        </w:tc>
        <w:tc>
          <w:tcPr>
            <w:tcW w:w="1640" w:type="dxa"/>
          </w:tcPr>
          <w:p w14:paraId="4874B025" w14:textId="77777777" w:rsidR="00DD7EBA" w:rsidRPr="00B93713" w:rsidRDefault="00DD7EBA" w:rsidP="00DD7EBA">
            <w:pPr>
              <w:jc w:val="center"/>
              <w:rPr>
                <w:rFonts w:ascii="Times New Roman" w:hAnsi="Times New Roman" w:cs="Times New Roman"/>
                <w:sz w:val="20"/>
                <w:szCs w:val="20"/>
                <w:lang w:val="en-US"/>
              </w:rPr>
            </w:pPr>
          </w:p>
          <w:p w14:paraId="3F9654AE" w14:textId="77777777" w:rsidR="00DD7EBA" w:rsidRPr="00B93713" w:rsidRDefault="00DD7EBA" w:rsidP="00DD7EBA">
            <w:pPr>
              <w:jc w:val="center"/>
              <w:rPr>
                <w:rFonts w:ascii="Times New Roman" w:hAnsi="Times New Roman" w:cs="Times New Roman"/>
                <w:sz w:val="20"/>
                <w:szCs w:val="20"/>
                <w:lang w:val="en-US"/>
              </w:rPr>
            </w:pPr>
          </w:p>
          <w:p w14:paraId="053B7DDE"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17</w:t>
            </w:r>
          </w:p>
          <w:p w14:paraId="56585B47"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 4</w:t>
            </w:r>
          </w:p>
        </w:tc>
        <w:tc>
          <w:tcPr>
            <w:tcW w:w="1640" w:type="dxa"/>
          </w:tcPr>
          <w:p w14:paraId="16B2A463"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LR: 10</w:t>
            </w:r>
          </w:p>
          <w:p w14:paraId="5E592B87"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PA: 2</w:t>
            </w:r>
          </w:p>
          <w:p w14:paraId="1DE7B169"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TACE: 5</w:t>
            </w:r>
          </w:p>
          <w:p w14:paraId="5C8DDB0A"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SBRT: 2</w:t>
            </w:r>
          </w:p>
          <w:p w14:paraId="4918FCED"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BE: 1</w:t>
            </w:r>
          </w:p>
          <w:p w14:paraId="5EABF852"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Bevacizumab: 1</w:t>
            </w:r>
          </w:p>
          <w:p w14:paraId="06625508" w14:textId="77777777" w:rsidR="00DD7EBA" w:rsidRPr="00B93713" w:rsidRDefault="00DD7EBA" w:rsidP="00DD7EBA">
            <w:pPr>
              <w:jc w:val="center"/>
              <w:rPr>
                <w:rFonts w:ascii="Times New Roman" w:hAnsi="Times New Roman" w:cs="Times New Roman"/>
                <w:sz w:val="20"/>
                <w:szCs w:val="20"/>
                <w:lang w:val="en-US"/>
              </w:rPr>
            </w:pPr>
          </w:p>
        </w:tc>
        <w:tc>
          <w:tcPr>
            <w:tcW w:w="2008" w:type="dxa"/>
          </w:tcPr>
          <w:p w14:paraId="0021F63C" w14:textId="30BCB522" w:rsidR="00DD7EBA" w:rsidRPr="00B93713" w:rsidRDefault="00DD7EBA" w:rsidP="00DD7EBA">
            <w:pPr>
              <w:spacing w:before="600"/>
              <w:jc w:val="center"/>
              <w:rPr>
                <w:rFonts w:ascii="Times New Roman" w:hAnsi="Times New Roman" w:cs="Times New Roman"/>
                <w:sz w:val="20"/>
                <w:szCs w:val="20"/>
                <w:lang w:val="en-US"/>
              </w:rPr>
            </w:pPr>
            <w:r w:rsidRPr="006D241B">
              <w:rPr>
                <w:rFonts w:ascii="Times New Roman" w:hAnsi="Times New Roman" w:cs="Times New Roman"/>
                <w:sz w:val="20"/>
                <w:szCs w:val="20"/>
                <w:lang w:val="en-US"/>
              </w:rPr>
              <w:t>Nivolumab (240 mg oral every 2 weeks)</w:t>
            </w:r>
          </w:p>
        </w:tc>
        <w:tc>
          <w:tcPr>
            <w:tcW w:w="2008" w:type="dxa"/>
          </w:tcPr>
          <w:p w14:paraId="0F76330B" w14:textId="0565D246" w:rsidR="00DD7EBA" w:rsidRPr="006D241B" w:rsidRDefault="00DD7EBA" w:rsidP="00DD7EBA">
            <w:pPr>
              <w:spacing w:before="480"/>
              <w:jc w:val="center"/>
              <w:rPr>
                <w:rFonts w:ascii="Times New Roman" w:hAnsi="Times New Roman" w:cs="Times New Roman"/>
                <w:sz w:val="20"/>
                <w:szCs w:val="20"/>
                <w:lang w:val="en-US"/>
              </w:rPr>
            </w:pPr>
            <w:r>
              <w:rPr>
                <w:rFonts w:ascii="Times New Roman" w:hAnsi="Times New Roman" w:cs="Times New Roman"/>
                <w:sz w:val="20"/>
                <w:szCs w:val="20"/>
                <w:lang w:val="en-US"/>
              </w:rPr>
              <w:t>ICI concurrently with SIRT or 60 days before SIRT</w:t>
            </w:r>
          </w:p>
        </w:tc>
      </w:tr>
      <w:tr w:rsidR="00DD7EBA" w:rsidRPr="00084802" w14:paraId="7E954488" w14:textId="4490D84E" w:rsidTr="009F3F93">
        <w:trPr>
          <w:trHeight w:val="413"/>
        </w:trPr>
        <w:tc>
          <w:tcPr>
            <w:tcW w:w="1361" w:type="dxa"/>
            <w:vAlign w:val="bottom"/>
          </w:tcPr>
          <w:p w14:paraId="5EFD1F54" w14:textId="33FAB4C7" w:rsidR="00DD7EBA" w:rsidRPr="00B93713" w:rsidRDefault="00DD7EBA" w:rsidP="00DD7EBA">
            <w:pPr>
              <w:spacing w:after="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 xml:space="preserve">Tai D </w:t>
            </w:r>
            <w:r w:rsidRPr="00B93713">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{"citationID":"rHS6KAgt","properties":{"formattedCitation":"[39]","plainCitation":"[39]","noteIndex":0},"citationItems":[{"id":12916,"uris":["http://zotero.org/groups/5633822/items/JFGZFV54"],"itemData":{"id":12916,"type":"article-journal","abstract":"BACKGROUND: Therapeutic synergism between radiotherapy and immune checkpoint blockade has been observed in preclinical models of hepatocellular carcinoma. We  aimed to study the safety and efficacy of sequential radioembolisation with  yttrium-90-resin microspheres (Y90-radioembolisation) followed by nivolumab in  patients with advanced hepatocellular carcinoma. METHODS: Patients with  Child-Pugh A cirrhosis and advanced hepatocellular carcinoma not suitable for  curative surgery were treated with Y90-radioembolisation followed by intravenous  nivolumab 240 mg 21 days after Y90-radioembolisation and every 2 weeks  thereafter. The primary endpoint, assessed in the per-protocol population, was  the objective response rate, determined by RECIST version 1.1, defined as the  proportion of patients with a confirmed complete or partial response observed for  lesions both within and outside the Y90-radioembolisation field. This study is  registered with ClinicalTrials.gov, NCT03033446 and has been completed. FINDINGS:  40 patients were enrolled, of whom 36 received Y90-radioembolisation followed by  nivolumab. One (3%) patient had a complete response and ten (28%) had a partial  response; the objective response rate was 30·6% (95% CI 16·4-48·1). The most  common treatment-related adverse events of any grade were pruritus (18 [50%] of  36 patients) and maculopapular rash (13 [36%]). Two (6%) patients experienced  grade 3-4 treatment-related adverse events: one patient had a grade 3 increase in  alanine aminotransferase levels, grade 3 bilirubin increase, and grade 4 increase  in aspartate aminotransferase levels, while the other had a grade 3 maculopapular  rash. Five (14%) patients had a treatment-related serious adverse event  (Steven-Johnson syndrome, hepatitis E infection, fever, liver abscesses, and  ascites). INTERPRETATION: Y90-radioembolisation followed by nivolumab resulted in  an encouraging objective response rate in patients with advanced hepatocellular  carcinoma, although the activity observed was not as high as the study was  powered for. This strategy should be further evaluated in patients with Barcelona  Clinic Liver Clinic (BCLC) stage B hepatocellular carcinoma that is ineligible or  refractory to transarterial chemoembolisation and patients with BCLC C disease  without extrahepatic spread. FUNDING: National Medical Research Council  Singapore, Bristol-Myers Squibb, Sirtex.","container-title":"The lancet. Gastroenterology &amp; hepatology","DOI":"10.1016/S2468-1253(21)00305-8","ISSN":"2468-1253","issue":"12","journalAbbreviation":"Lancet Gastroenterol Hepatol","language":"eng","license":"Copyright © 2021 Elsevier Ltd. All rights reserved.","note":"publisher-place: Netherlands\nPMID: 34695377","page":"1025-1035","title":"Radioembolisation with Y90-resin microspheres followed by nivolumab for advanced hepatocellular carcinoma (CA 209-678): a single arm, single centre, phase 2  trial.","volume":"6","author":[{"family":"Tai","given":"David"},{"family":"Loke","given":"Kelvin"},{"family":"Gogna","given":"Apoorva"},{"family":"Kaya","given":"Neslihan Arife"},{"family":"Tan","given":"Sze Huey"},{"family":"Hennedige","given":"Tiffany"},{"family":"Ng","given":"David"},{"family":"Irani","given":"Farah"},{"family":"Lee","given":"Joycelyn"},{"family":"Lim","given":"Jia Qi"},{"family":"Too","given":"Chow Wei"},{"family":"Ng","given":"Matthew C. H."},{"family":"Tham","given":"Chee Kian"},{"family":"Lam","given":"Justina"},{"family":"Koo","given":"Si Lin"},{"family":"Chong","given":"Hui Shan"},{"family":"Goh","given":"George Boon-Bee"},{"family":"Huang","given":"Hian Liang"},{"family":"Venkatanarasimha","given":"Nanda"},{"family":"Lo","given":"Richard"},{"family":"Chow","given":"Pierce K. H."},{"family":"Goh","given":"Brian K. P."},{"family":"Chung","given":"Alexander"},{"family":"Toh","given":"Han Chong"},{"family":"Thng","given":"Choon Hua"},{"family":"Lim","given":"Tony K. H."},{"family":"Yeong","given":"Joe"},{"family":"Zhai","given":"Weiwei"},{"family":"Chan","given":"Chung Yip"},{"family":"Choo","given":"Su Pin"}],"issued":{"date-parts":[["2021",12]]}}}],"schema":"https://github.com/citation-style-language/schema/raw/master/csl-citation.json"} </w:instrText>
            </w:r>
            <w:r w:rsidRPr="00B93713">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[39]</w:t>
            </w:r>
            <w:r w:rsidRPr="00B93713">
              <w:rPr>
                <w:rFonts w:ascii="Times New Roman" w:hAnsi="Times New Roman" w:cs="Times New Roman"/>
                <w:sz w:val="20"/>
                <w:szCs w:val="20"/>
                <w:lang w:val="en-US"/>
              </w:rPr>
              <w:fldChar w:fldCharType="end"/>
            </w:r>
          </w:p>
        </w:tc>
        <w:tc>
          <w:tcPr>
            <w:tcW w:w="1228" w:type="dxa"/>
          </w:tcPr>
          <w:p w14:paraId="2FA7CBEF" w14:textId="77777777" w:rsidR="00DD7EBA" w:rsidRPr="00B93713" w:rsidRDefault="00DD7EBA" w:rsidP="00DD7EBA">
            <w:pPr>
              <w:jc w:val="center"/>
              <w:rPr>
                <w:rFonts w:ascii="Times New Roman" w:hAnsi="Times New Roman" w:cs="Times New Roman"/>
                <w:sz w:val="20"/>
                <w:szCs w:val="20"/>
                <w:lang w:val="en-US"/>
              </w:rPr>
            </w:pPr>
          </w:p>
          <w:p w14:paraId="53475150"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2021</w:t>
            </w:r>
          </w:p>
        </w:tc>
        <w:tc>
          <w:tcPr>
            <w:tcW w:w="1365" w:type="dxa"/>
          </w:tcPr>
          <w:p w14:paraId="72073A75" w14:textId="77777777" w:rsidR="00DD7EBA" w:rsidRPr="00B93713" w:rsidRDefault="00DD7EBA" w:rsidP="00DD7EBA">
            <w:pPr>
              <w:jc w:val="center"/>
              <w:rPr>
                <w:rFonts w:ascii="Times New Roman" w:hAnsi="Times New Roman" w:cs="Times New Roman"/>
                <w:sz w:val="20"/>
                <w:szCs w:val="20"/>
                <w:lang w:val="en-US"/>
              </w:rPr>
            </w:pPr>
          </w:p>
          <w:p w14:paraId="1A5A96E3"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Singapore</w:t>
            </w:r>
          </w:p>
        </w:tc>
        <w:tc>
          <w:tcPr>
            <w:tcW w:w="1283" w:type="dxa"/>
          </w:tcPr>
          <w:p w14:paraId="205B4A06" w14:textId="5A993B50" w:rsidR="00DD7EBA" w:rsidRPr="00B93713" w:rsidRDefault="00DD7EBA" w:rsidP="00DD7EBA">
            <w:pPr>
              <w:jc w:val="center"/>
              <w:rPr>
                <w:rFonts w:ascii="Times New Roman" w:hAnsi="Times New Roman" w:cs="Times New Roman"/>
                <w:sz w:val="20"/>
                <w:szCs w:val="20"/>
                <w:lang w:val="en-US"/>
              </w:rPr>
            </w:pPr>
          </w:p>
          <w:p w14:paraId="69338D90" w14:textId="2FF66E1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SC</w:t>
            </w:r>
          </w:p>
        </w:tc>
        <w:tc>
          <w:tcPr>
            <w:tcW w:w="1454" w:type="dxa"/>
          </w:tcPr>
          <w:p w14:paraId="79CAAECA" w14:textId="4B4DD6C9" w:rsidR="00DD7EBA" w:rsidRPr="00B93713" w:rsidRDefault="00DD7EBA" w:rsidP="00DD7EBA">
            <w:pPr>
              <w:jc w:val="center"/>
              <w:rPr>
                <w:rFonts w:ascii="Times New Roman" w:hAnsi="Times New Roman" w:cs="Times New Roman"/>
                <w:sz w:val="20"/>
                <w:szCs w:val="20"/>
                <w:lang w:val="en-US"/>
              </w:rPr>
            </w:pPr>
          </w:p>
          <w:p w14:paraId="6FA087A5" w14:textId="704A1FB3"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Phase II Clinical Trial</w:t>
            </w:r>
          </w:p>
        </w:tc>
        <w:tc>
          <w:tcPr>
            <w:tcW w:w="1056" w:type="dxa"/>
            <w:vAlign w:val="bottom"/>
          </w:tcPr>
          <w:p w14:paraId="7C80C657" w14:textId="42061AAD" w:rsidR="00DD7EBA" w:rsidRPr="00B93713" w:rsidRDefault="00DD7EBA" w:rsidP="00DD7EBA">
            <w:pPr>
              <w:spacing w:after="36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36</w:t>
            </w:r>
          </w:p>
        </w:tc>
        <w:tc>
          <w:tcPr>
            <w:tcW w:w="1182" w:type="dxa"/>
          </w:tcPr>
          <w:p w14:paraId="7345EC1E" w14:textId="77777777" w:rsidR="00DD7EBA" w:rsidRPr="00B93713" w:rsidRDefault="00DD7EBA" w:rsidP="00DD7EBA">
            <w:pPr>
              <w:jc w:val="center"/>
              <w:rPr>
                <w:rFonts w:ascii="Times New Roman" w:hAnsi="Times New Roman" w:cs="Times New Roman"/>
                <w:sz w:val="20"/>
                <w:szCs w:val="20"/>
                <w:lang w:val="en-US"/>
              </w:rPr>
            </w:pPr>
          </w:p>
          <w:p w14:paraId="5C80261F"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64 (23 – 78)</w:t>
            </w:r>
          </w:p>
        </w:tc>
        <w:tc>
          <w:tcPr>
            <w:tcW w:w="1171" w:type="dxa"/>
          </w:tcPr>
          <w:p w14:paraId="3B434A67" w14:textId="77777777" w:rsidR="00DD7EBA" w:rsidRPr="00B93713" w:rsidRDefault="00DD7EBA" w:rsidP="00DD7EBA">
            <w:pPr>
              <w:jc w:val="center"/>
              <w:rPr>
                <w:rFonts w:ascii="Times New Roman" w:hAnsi="Times New Roman" w:cs="Times New Roman"/>
                <w:sz w:val="20"/>
                <w:szCs w:val="20"/>
                <w:lang w:val="en-US"/>
              </w:rPr>
            </w:pPr>
          </w:p>
          <w:p w14:paraId="1F8A34C6"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78</w:t>
            </w:r>
          </w:p>
        </w:tc>
        <w:tc>
          <w:tcPr>
            <w:tcW w:w="1228" w:type="dxa"/>
          </w:tcPr>
          <w:p w14:paraId="1417643A" w14:textId="77777777"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24.8</w:t>
            </w:r>
          </w:p>
        </w:tc>
        <w:tc>
          <w:tcPr>
            <w:tcW w:w="1228" w:type="dxa"/>
          </w:tcPr>
          <w:p w14:paraId="606CC5CF" w14:textId="77777777" w:rsidR="00DD7EBA" w:rsidRPr="00B93713" w:rsidRDefault="00DD7EBA" w:rsidP="00DD7EBA">
            <w:pPr>
              <w:jc w:val="center"/>
              <w:rPr>
                <w:rFonts w:ascii="Times New Roman" w:hAnsi="Times New Roman" w:cs="Times New Roman"/>
                <w:sz w:val="20"/>
                <w:szCs w:val="20"/>
                <w:lang w:val="en-US"/>
              </w:rPr>
            </w:pPr>
          </w:p>
          <w:p w14:paraId="47ED6DA4"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1</w:t>
            </w:r>
          </w:p>
          <w:p w14:paraId="7A940571"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 11</w:t>
            </w:r>
          </w:p>
          <w:p w14:paraId="1BA1AA3A"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C: 24</w:t>
            </w:r>
          </w:p>
        </w:tc>
        <w:tc>
          <w:tcPr>
            <w:tcW w:w="1640" w:type="dxa"/>
          </w:tcPr>
          <w:p w14:paraId="240C3562" w14:textId="77777777" w:rsidR="00DD7EBA" w:rsidRPr="00B93713" w:rsidRDefault="00DD7EBA" w:rsidP="00DD7EBA">
            <w:pPr>
              <w:jc w:val="center"/>
              <w:rPr>
                <w:rFonts w:ascii="Times New Roman" w:hAnsi="Times New Roman" w:cs="Times New Roman"/>
                <w:sz w:val="20"/>
                <w:szCs w:val="20"/>
                <w:lang w:val="en-US"/>
              </w:rPr>
            </w:pPr>
          </w:p>
          <w:p w14:paraId="0368C0EE"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A5: 27</w:t>
            </w:r>
          </w:p>
          <w:p w14:paraId="64BE1325"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A6: 9</w:t>
            </w:r>
          </w:p>
        </w:tc>
        <w:tc>
          <w:tcPr>
            <w:tcW w:w="1640" w:type="dxa"/>
          </w:tcPr>
          <w:p w14:paraId="6AF1647B"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LR: 9</w:t>
            </w:r>
          </w:p>
          <w:p w14:paraId="49A8AE0E"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PA: 20</w:t>
            </w:r>
          </w:p>
          <w:p w14:paraId="672A342A"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TACE: 11</w:t>
            </w:r>
          </w:p>
          <w:p w14:paraId="59200A5F"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TACE + PA: 1</w:t>
            </w:r>
          </w:p>
        </w:tc>
        <w:tc>
          <w:tcPr>
            <w:tcW w:w="2008" w:type="dxa"/>
          </w:tcPr>
          <w:p w14:paraId="10072EA6" w14:textId="527DAA46"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Nivolumab (240 mg IV)</w:t>
            </w:r>
          </w:p>
        </w:tc>
        <w:tc>
          <w:tcPr>
            <w:tcW w:w="2008" w:type="dxa"/>
          </w:tcPr>
          <w:p w14:paraId="03C701BB" w14:textId="2E407B95" w:rsidR="00DD7EBA" w:rsidRPr="00B93713" w:rsidRDefault="00DD7EBA" w:rsidP="00DD7EBA">
            <w:pPr>
              <w:spacing w:before="240"/>
              <w:jc w:val="center"/>
              <w:rPr>
                <w:rFonts w:ascii="Times New Roman" w:hAnsi="Times New Roman" w:cs="Times New Roman"/>
                <w:sz w:val="20"/>
                <w:szCs w:val="20"/>
                <w:lang w:val="en-US"/>
              </w:rPr>
            </w:pPr>
            <w:r>
              <w:rPr>
                <w:rFonts w:ascii="Times New Roman" w:hAnsi="Times New Roman" w:cs="Times New Roman"/>
                <w:sz w:val="20"/>
                <w:szCs w:val="20"/>
                <w:lang w:val="en-US"/>
              </w:rPr>
              <w:t xml:space="preserve">ICI </w:t>
            </w:r>
            <w:r w:rsidRPr="006D241B">
              <w:rPr>
                <w:rFonts w:ascii="Times New Roman" w:hAnsi="Times New Roman" w:cs="Times New Roman"/>
                <w:sz w:val="20"/>
                <w:szCs w:val="20"/>
                <w:lang w:val="en-US"/>
              </w:rPr>
              <w:t>21days after SIRT</w:t>
            </w:r>
          </w:p>
        </w:tc>
      </w:tr>
      <w:tr w:rsidR="00DD7EBA" w:rsidRPr="00084802" w14:paraId="4FA21F6C" w14:textId="049A0ACD" w:rsidTr="009F3F93">
        <w:trPr>
          <w:trHeight w:val="413"/>
        </w:trPr>
        <w:tc>
          <w:tcPr>
            <w:tcW w:w="1361" w:type="dxa"/>
            <w:vAlign w:val="bottom"/>
          </w:tcPr>
          <w:p w14:paraId="3F731862" w14:textId="2431EE5E" w:rsidR="00DD7EBA" w:rsidRPr="00B93713" w:rsidRDefault="00DD7EBA" w:rsidP="00DD7EBA">
            <w:pPr>
              <w:spacing w:after="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 xml:space="preserve">Villalobos A </w:t>
            </w:r>
            <w:r w:rsidRPr="00B93713">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{"citationID":"X8yOe78a","properties":{"formattedCitation":"[40]","plainCitation":"[40]","noteIndex":0},"citationItems":[{"id":12945,"uris":["http://zotero.org/groups/5633822/items/3YZ3ACFN"],"itemData":{"id":12945,"type":"article-journal","abstract":"To evaluate the safety and efficacy of combining yttrium-90 radioembolization (Y90-RE) with immune checkpoint inhibitor therapy, consecutive advanced  unresectable hepatocellular carcinoma (HCC) patients treated between 2016 and  2022 with atezolizumab/bevacizumab or nivolumab within three-months pre- and  post-Y90-RE were retrospectively evaluated. Tumor response and treatment-related  clinical/laboratory adverse events (AE) were assessed at 1 and 6 months, as well  as differences in clinical and laboratory variables and median overall survival  (OS) from initial treatment (whether it was Y90-RE or systemic therapy) between  the two cohorts. A total of 19 patients (10 atezolizumab/bevacizumab; 9  nivolumab), comprising 84% males with median age 69 years, met the inclusion  criteria. Compared to the atezolizumab/bevacizumab group, there were less males  (100% vs. 67%; p = 0.02) and more ECOG ≥ 2 patients in the nivolumab group (0%  vs. 33%; p = 0.02). Baseline characteristics or incidence of 6-month  post-treatment any-grade AE (60% vs. 56%; p = 0.7), grade ≥ 3 AE (0% vs. 11%; p =  0.3), objective response (58% total, 60% vs. 56%; p = 0.7), and complete response  (16% total; 10% vs. 22%; p = 0.8) were similar between the  atezolizumab/bevacizumab and the nivolumab cohorts. Median OS was 12.9 months for  the whole cohort, 16.4 months for nivolumab, and 10.7 months for  atezolizumab/bevacizumab. Among patients with advanced unresectable HCC, the  utilization of Y90-RE concurrently or within 90 days of nivolumab or  atezolizumab/bevacizumab immunotherapy, appears to be well-tolerated and with a  low incidence of severe AE.","container-title":"Current oncology (Toronto, Ont.)","DOI":"10.3390/curroncol30120734","ISSN":"1718-7729 1198-0052","issue":"12","journalAbbreviation":"Curr Oncol","language":"eng","note":"publisher-place: Switzerland\nPMID: 38132368 \nPMCID: PMC10742675","page":"10100-10110","title":"Safety and Efficacy of Concurrent Atezolizumab/Bevacizumab or Nivolumab Combination Therapy with Yttrium-90 Radioembolization of Advanced Unresectable  Hepatocellular Carcinoma.","volume":"30","author":[{"family":"Villalobos","given":"Alexander"},{"family":"Dabbous","given":"Howard Hussein"},{"family":"Little","given":"Olivia"},{"family":"Gbolahan","given":"Olumide Babajide"},{"family":"Akce","given":"Mehmet"},{"family":"Lilly","given":"Meghan Allegra"},{"family":"Bercu","given":"Zachary"},{"family":"Kokabi","given":"Nima"}],"issued":{"date-parts":[["2023",11,25]]}}}],"schema":"https://github.com/citation-style-language/schema/raw/master/csl-citation.json"} </w:instrText>
            </w:r>
            <w:r w:rsidRPr="00B93713">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[40]</w:t>
            </w:r>
            <w:r w:rsidRPr="00B93713">
              <w:rPr>
                <w:rFonts w:ascii="Times New Roman" w:hAnsi="Times New Roman" w:cs="Times New Roman"/>
                <w:sz w:val="20"/>
                <w:szCs w:val="20"/>
                <w:lang w:val="en-US"/>
              </w:rPr>
              <w:fldChar w:fldCharType="end"/>
            </w:r>
          </w:p>
        </w:tc>
        <w:tc>
          <w:tcPr>
            <w:tcW w:w="1228" w:type="dxa"/>
          </w:tcPr>
          <w:p w14:paraId="3D7B2E8F" w14:textId="77777777" w:rsidR="00DD7EBA" w:rsidRPr="00B93713" w:rsidRDefault="00DD7EBA" w:rsidP="00DD7EBA">
            <w:pPr>
              <w:spacing w:before="7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2023</w:t>
            </w:r>
          </w:p>
        </w:tc>
        <w:tc>
          <w:tcPr>
            <w:tcW w:w="1365" w:type="dxa"/>
          </w:tcPr>
          <w:p w14:paraId="39B5FE50" w14:textId="77777777" w:rsidR="00DD7EBA" w:rsidRPr="00B93713" w:rsidRDefault="00DD7EBA" w:rsidP="00DD7EBA">
            <w:pPr>
              <w:spacing w:before="7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United States</w:t>
            </w:r>
          </w:p>
          <w:p w14:paraId="15EA1F27" w14:textId="77777777" w:rsidR="00DD7EBA" w:rsidRPr="00B93713" w:rsidRDefault="00DD7EBA" w:rsidP="00DD7EBA">
            <w:pPr>
              <w:spacing w:before="360"/>
              <w:jc w:val="center"/>
              <w:rPr>
                <w:rFonts w:ascii="Times New Roman" w:hAnsi="Times New Roman" w:cs="Times New Roman"/>
                <w:sz w:val="20"/>
                <w:szCs w:val="20"/>
                <w:lang w:val="en-US"/>
              </w:rPr>
            </w:pPr>
          </w:p>
        </w:tc>
        <w:tc>
          <w:tcPr>
            <w:tcW w:w="1283" w:type="dxa"/>
          </w:tcPr>
          <w:p w14:paraId="51B9D7B6" w14:textId="3B669A9B" w:rsidR="00DD7EBA" w:rsidRPr="00B93713" w:rsidRDefault="00DD7EBA" w:rsidP="00DD7EBA">
            <w:pPr>
              <w:spacing w:before="7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SC</w:t>
            </w:r>
          </w:p>
        </w:tc>
        <w:tc>
          <w:tcPr>
            <w:tcW w:w="1454" w:type="dxa"/>
          </w:tcPr>
          <w:p w14:paraId="619531F7" w14:textId="0BF81DCF" w:rsidR="00DD7EBA" w:rsidRPr="00B93713" w:rsidRDefault="00DD7EBA" w:rsidP="00DD7EBA">
            <w:pPr>
              <w:spacing w:before="7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Retrospective Cohort</w:t>
            </w:r>
          </w:p>
        </w:tc>
        <w:tc>
          <w:tcPr>
            <w:tcW w:w="1056" w:type="dxa"/>
            <w:vAlign w:val="bottom"/>
          </w:tcPr>
          <w:p w14:paraId="33AAAA32" w14:textId="52BFD679" w:rsidR="00DD7EBA" w:rsidRPr="00B93713" w:rsidRDefault="00DD7EBA" w:rsidP="00DD7EBA">
            <w:pPr>
              <w:spacing w:after="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9</w:t>
            </w:r>
          </w:p>
        </w:tc>
        <w:tc>
          <w:tcPr>
            <w:tcW w:w="1182" w:type="dxa"/>
          </w:tcPr>
          <w:p w14:paraId="3550155C" w14:textId="77777777" w:rsidR="00DD7EBA" w:rsidRPr="00B93713" w:rsidRDefault="00DD7EBA" w:rsidP="00DD7EBA">
            <w:pPr>
              <w:jc w:val="center"/>
              <w:rPr>
                <w:rFonts w:ascii="Times New Roman" w:hAnsi="Times New Roman" w:cs="Times New Roman"/>
                <w:sz w:val="20"/>
                <w:szCs w:val="20"/>
                <w:lang w:val="en-US"/>
              </w:rPr>
            </w:pPr>
          </w:p>
          <w:p w14:paraId="5C50320D" w14:textId="77777777" w:rsidR="00DD7EBA" w:rsidRPr="00B93713" w:rsidRDefault="00DD7EBA" w:rsidP="00DD7EBA">
            <w:pPr>
              <w:jc w:val="center"/>
              <w:rPr>
                <w:rFonts w:ascii="Times New Roman" w:hAnsi="Times New Roman" w:cs="Times New Roman"/>
                <w:sz w:val="20"/>
                <w:szCs w:val="20"/>
                <w:lang w:val="en-US"/>
              </w:rPr>
            </w:pPr>
          </w:p>
          <w:p w14:paraId="0B9D0F71" w14:textId="77777777" w:rsidR="00DD7EBA" w:rsidRPr="00B93713" w:rsidRDefault="00DD7EBA" w:rsidP="00DD7EBA">
            <w:pPr>
              <w:jc w:val="center"/>
              <w:rPr>
                <w:rFonts w:ascii="Times New Roman" w:hAnsi="Times New Roman" w:cs="Times New Roman"/>
                <w:sz w:val="20"/>
                <w:szCs w:val="20"/>
                <w:lang w:val="en-US"/>
              </w:rPr>
            </w:pPr>
          </w:p>
          <w:p w14:paraId="2366190D" w14:textId="77777777" w:rsidR="00DD7EBA" w:rsidRPr="00B93713" w:rsidRDefault="00DD7EBA" w:rsidP="00DD7EBA">
            <w:pPr>
              <w:tabs>
                <w:tab w:val="left" w:pos="378"/>
              </w:tabs>
              <w:spacing w:after="36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72 (67 – 76)</w:t>
            </w:r>
          </w:p>
        </w:tc>
        <w:tc>
          <w:tcPr>
            <w:tcW w:w="1171" w:type="dxa"/>
          </w:tcPr>
          <w:p w14:paraId="1EDBC7A4" w14:textId="77777777" w:rsidR="00DD7EBA" w:rsidRPr="00B93713" w:rsidRDefault="00DD7EBA" w:rsidP="00DD7EBA">
            <w:pPr>
              <w:spacing w:before="7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67</w:t>
            </w:r>
          </w:p>
        </w:tc>
        <w:tc>
          <w:tcPr>
            <w:tcW w:w="1228" w:type="dxa"/>
          </w:tcPr>
          <w:p w14:paraId="70868FBA" w14:textId="77777777" w:rsidR="00DD7EBA" w:rsidRPr="00B93713" w:rsidRDefault="00DD7EBA" w:rsidP="00DD7EBA">
            <w:pPr>
              <w:jc w:val="center"/>
              <w:rPr>
                <w:rFonts w:ascii="Times New Roman" w:hAnsi="Times New Roman" w:cs="Times New Roman"/>
                <w:sz w:val="20"/>
                <w:szCs w:val="20"/>
                <w:lang w:val="en-US"/>
              </w:rPr>
            </w:pPr>
          </w:p>
          <w:p w14:paraId="7544D8C4" w14:textId="77777777" w:rsidR="00DD7EBA" w:rsidRPr="00B93713" w:rsidRDefault="00DD7EBA" w:rsidP="00DD7EBA">
            <w:pPr>
              <w:jc w:val="center"/>
              <w:rPr>
                <w:rFonts w:ascii="Times New Roman" w:hAnsi="Times New Roman" w:cs="Times New Roman"/>
                <w:sz w:val="20"/>
                <w:szCs w:val="20"/>
                <w:lang w:val="en-US"/>
              </w:rPr>
            </w:pPr>
          </w:p>
          <w:p w14:paraId="6D3CBD54" w14:textId="77777777" w:rsidR="00DD7EBA" w:rsidRPr="00B93713" w:rsidRDefault="00DD7EBA" w:rsidP="00DD7EBA">
            <w:pPr>
              <w:jc w:val="center"/>
              <w:rPr>
                <w:rFonts w:ascii="Times New Roman" w:hAnsi="Times New Roman" w:cs="Times New Roman"/>
                <w:sz w:val="20"/>
                <w:szCs w:val="20"/>
                <w:lang w:val="en-US"/>
              </w:rPr>
            </w:pPr>
          </w:p>
          <w:p w14:paraId="4E382F88" w14:textId="77777777" w:rsidR="00DD7EBA" w:rsidRPr="00B93713" w:rsidRDefault="00DD7EBA" w:rsidP="00DD7EBA">
            <w:pPr>
              <w:tabs>
                <w:tab w:val="left" w:pos="462"/>
              </w:tabs>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19</w:t>
            </w:r>
          </w:p>
        </w:tc>
        <w:tc>
          <w:tcPr>
            <w:tcW w:w="1228" w:type="dxa"/>
          </w:tcPr>
          <w:p w14:paraId="5C846386" w14:textId="77777777" w:rsidR="00DD7EBA" w:rsidRPr="00B93713" w:rsidRDefault="00DD7EBA" w:rsidP="00DD7EBA">
            <w:pPr>
              <w:jc w:val="center"/>
              <w:rPr>
                <w:rFonts w:ascii="Times New Roman" w:hAnsi="Times New Roman" w:cs="Times New Roman"/>
                <w:sz w:val="20"/>
                <w:szCs w:val="20"/>
                <w:lang w:val="en-US"/>
              </w:rPr>
            </w:pPr>
          </w:p>
          <w:p w14:paraId="5DEAF3D4" w14:textId="77777777" w:rsidR="00DD7EBA" w:rsidRPr="00B93713" w:rsidRDefault="00DD7EBA" w:rsidP="00DD7EBA">
            <w:pPr>
              <w:jc w:val="center"/>
              <w:rPr>
                <w:rFonts w:ascii="Times New Roman" w:hAnsi="Times New Roman" w:cs="Times New Roman"/>
                <w:sz w:val="20"/>
                <w:szCs w:val="20"/>
                <w:lang w:val="en-US"/>
              </w:rPr>
            </w:pPr>
          </w:p>
          <w:p w14:paraId="1998F84A"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0</w:t>
            </w:r>
          </w:p>
          <w:p w14:paraId="1C79F46B"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 1</w:t>
            </w:r>
          </w:p>
          <w:p w14:paraId="0DA275EE"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C: 8</w:t>
            </w:r>
          </w:p>
        </w:tc>
        <w:tc>
          <w:tcPr>
            <w:tcW w:w="1640" w:type="dxa"/>
          </w:tcPr>
          <w:p w14:paraId="2C92E2C2" w14:textId="77777777" w:rsidR="00DD7EBA" w:rsidRPr="00B93713" w:rsidRDefault="00DD7EBA" w:rsidP="00DD7EBA">
            <w:pPr>
              <w:jc w:val="center"/>
              <w:rPr>
                <w:rFonts w:ascii="Times New Roman" w:hAnsi="Times New Roman" w:cs="Times New Roman"/>
                <w:sz w:val="20"/>
                <w:szCs w:val="20"/>
                <w:lang w:val="en-US"/>
              </w:rPr>
            </w:pPr>
          </w:p>
          <w:p w14:paraId="1A120844" w14:textId="77777777" w:rsidR="00DD7EBA" w:rsidRPr="00B93713" w:rsidRDefault="00DD7EBA" w:rsidP="00DD7EBA">
            <w:pPr>
              <w:jc w:val="center"/>
              <w:rPr>
                <w:rFonts w:ascii="Times New Roman" w:hAnsi="Times New Roman" w:cs="Times New Roman"/>
                <w:sz w:val="20"/>
                <w:szCs w:val="20"/>
                <w:lang w:val="en-US"/>
              </w:rPr>
            </w:pPr>
          </w:p>
          <w:p w14:paraId="40D3DFBC"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8</w:t>
            </w:r>
          </w:p>
          <w:p w14:paraId="1B3B10A2"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 1</w:t>
            </w:r>
          </w:p>
          <w:p w14:paraId="43F9C874" w14:textId="77777777" w:rsidR="00DD7EBA" w:rsidRPr="00B93713" w:rsidRDefault="00DD7EBA" w:rsidP="00DD7EBA">
            <w:pPr>
              <w:jc w:val="center"/>
              <w:rPr>
                <w:rFonts w:ascii="Times New Roman" w:hAnsi="Times New Roman" w:cs="Times New Roman"/>
                <w:sz w:val="20"/>
                <w:szCs w:val="20"/>
                <w:lang w:val="en-US"/>
              </w:rPr>
            </w:pPr>
          </w:p>
        </w:tc>
        <w:tc>
          <w:tcPr>
            <w:tcW w:w="1640" w:type="dxa"/>
          </w:tcPr>
          <w:p w14:paraId="608BED6B" w14:textId="77777777" w:rsidR="00DD7EBA" w:rsidRPr="00B93713" w:rsidRDefault="00DD7EBA" w:rsidP="00DD7EBA">
            <w:pPr>
              <w:jc w:val="center"/>
              <w:rPr>
                <w:rFonts w:ascii="Times New Roman" w:hAnsi="Times New Roman" w:cs="Times New Roman"/>
                <w:sz w:val="20"/>
                <w:szCs w:val="20"/>
                <w:lang w:val="en-US"/>
              </w:rPr>
            </w:pPr>
          </w:p>
          <w:p w14:paraId="7320158F"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Local Treatment: 2*</w:t>
            </w:r>
          </w:p>
          <w:p w14:paraId="30E7FA2C"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Systemic Treatment: 3*</w:t>
            </w:r>
          </w:p>
        </w:tc>
        <w:tc>
          <w:tcPr>
            <w:tcW w:w="2008" w:type="dxa"/>
          </w:tcPr>
          <w:p w14:paraId="3A7FB07B" w14:textId="39FA1FDD" w:rsidR="00DD7EBA" w:rsidRPr="00B93713" w:rsidRDefault="00DD7EBA" w:rsidP="00DD7EBA">
            <w:pPr>
              <w:spacing w:before="60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 xml:space="preserve">Nivolumab </w:t>
            </w:r>
          </w:p>
        </w:tc>
        <w:tc>
          <w:tcPr>
            <w:tcW w:w="2008" w:type="dxa"/>
          </w:tcPr>
          <w:p w14:paraId="249CFFDD" w14:textId="0466E6FD" w:rsidR="00DD7EBA" w:rsidRPr="00B93713" w:rsidRDefault="00DD7EBA" w:rsidP="00DD7EBA">
            <w:pPr>
              <w:spacing w:before="480"/>
              <w:jc w:val="center"/>
              <w:rPr>
                <w:rFonts w:ascii="Times New Roman" w:hAnsi="Times New Roman" w:cs="Times New Roman"/>
                <w:sz w:val="20"/>
                <w:szCs w:val="20"/>
                <w:lang w:val="en-US"/>
              </w:rPr>
            </w:pPr>
            <w:r>
              <w:rPr>
                <w:rFonts w:ascii="Times New Roman" w:hAnsi="Times New Roman" w:cs="Times New Roman"/>
                <w:sz w:val="20"/>
                <w:szCs w:val="20"/>
                <w:lang w:val="en-US"/>
              </w:rPr>
              <w:t xml:space="preserve">ICI </w:t>
            </w:r>
            <w:r w:rsidRPr="006D241B">
              <w:rPr>
                <w:rFonts w:ascii="Times New Roman" w:hAnsi="Times New Roman" w:cs="Times New Roman"/>
                <w:sz w:val="20"/>
                <w:szCs w:val="20"/>
                <w:lang w:val="en-US"/>
              </w:rPr>
              <w:t>three months before SIRT</w:t>
            </w:r>
          </w:p>
        </w:tc>
      </w:tr>
      <w:tr w:rsidR="00DD7EBA" w:rsidRPr="00084802" w14:paraId="464446F9" w14:textId="36108D43" w:rsidTr="009F3F93">
        <w:trPr>
          <w:trHeight w:val="413"/>
        </w:trPr>
        <w:tc>
          <w:tcPr>
            <w:tcW w:w="1361" w:type="dxa"/>
            <w:vAlign w:val="bottom"/>
          </w:tcPr>
          <w:p w14:paraId="199C60AE" w14:textId="2BC10AEA" w:rsidR="00DD7EBA" w:rsidRPr="00B93713" w:rsidRDefault="00DD7EBA" w:rsidP="00DD7EBA">
            <w:pPr>
              <w:spacing w:after="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 xml:space="preserve">Yu S </w:t>
            </w:r>
            <w:r w:rsidRPr="00B93713">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{"citationID":"znEV6NLD","properties":{"formattedCitation":"[41]","plainCitation":"[41]","noteIndex":0},"citationItems":[{"id":12987,"uris":["http://zotero.org/groups/5633822/items/T2Y3LU9H"],"itemData":{"id":12987,"type":"article-journal","abstract":"BACKGROUND: Combination checkpoint inhibition therapy with yttrium-90 (Y90) radioembolization represents an emerging area of interest in the treatment of  advanced hepatocellular carcinoma (HCC). HCRN GI15-225 is an open-label,  single-arm multicenter, pilot study (NCT03099564). METHODS: Eligible patients had  poor prognosis, localized HCC defined as having portal vein thrombus, multifocal  disease, and/or diffuse disease that were not eligible for liver transplant or  surgical resection. Patients received pembrolizumab 200 mg intravenously every 3  weeks in conjunction with glass yttrium-90 (Y90) radioembolization TheraSphere.  Primary endpoint was 6-month progression-free survival (PFS6) per RECIST 1.1.  Secondary endpoints included time to progression (TTP), objective response rate  (ORR), overall survival (OS), and safety/tolerability. RESULTS: Between October  23, 2017 and November 24, 2020, 29 patients were enrolled: 2 were excluded per  protocol. Fifteen of the remaining 27 patients were free of progression at 6  months (55.6%; 95% CI, 35.3-74.5) with median PFS 9.95 months (95% CI,  4.14-15.24) and OS 27.30 months (95% CI, 10.15-39.52). One patient was not  evaluable for response due to death; among the remaining 26 patients, ORR was  30.8% (95% CI, 14.3-51.8) and DCR was 84.6% (95% CI, 65.1-95.6). CONCLUSION: In  patients with localized, poor prognosis HCC, pembrolizumab in addition to glass  Y90 radioembolization demonstrated promising efficacy and safety consistent with  prior observations (ClinicalTrials.gov Identifier: NCT03099564; IRB Approved:  16-3255 approved July 12, 2016).","container-title":"The oncologist","DOI":"10.1093/oncolo/oyad331","ISSN":"1549-490X 1083-7159","issue":"3","journalAbbreviation":"Oncologist","language":"eng","license":"© The Author(s) 2024. Published by Oxford University Press.","note":"publisher-place: England\nPMID: 38325328 \nPMCID: PMC10911903","page":"270-e413","title":"A Pilot Study of Pembrolizumab in Combination With Y90 Radioembolization in Subjects With Poor Prognosis Hepatocellular Carcinoma.","volume":"29","author":[{"family":"Yu","given":"Shawn"},{"family":"Yu","given":"Menggang"},{"family":"Keane","given":"Barry"},{"family":"Mauro","given":"David M."},{"family":"Helft","given":"Paul R."},{"family":"Harris","given":"William P."},{"family":"Sanoff","given":"Hanna K."},{"family":"Johnson","given":"Matthew S."},{"family":"O'Neil","given":"Bert"},{"family":"McRee","given":"Autumn Jackson"},{"family":"Somasundaram","given":"Ashwin"}],"issued":{"date-parts":[["2024",3,4]]}}}],"schema":"https://github.com/citation-style-language/schema/raw/master/csl-citation.json"} </w:instrText>
            </w:r>
            <w:r w:rsidRPr="00B93713">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[41]</w:t>
            </w:r>
            <w:r w:rsidRPr="00B93713">
              <w:rPr>
                <w:rFonts w:ascii="Times New Roman" w:hAnsi="Times New Roman" w:cs="Times New Roman"/>
                <w:sz w:val="20"/>
                <w:szCs w:val="20"/>
                <w:lang w:val="en-US"/>
              </w:rPr>
              <w:fldChar w:fldCharType="end"/>
            </w:r>
          </w:p>
        </w:tc>
        <w:tc>
          <w:tcPr>
            <w:tcW w:w="1228" w:type="dxa"/>
          </w:tcPr>
          <w:p w14:paraId="1F35C303" w14:textId="77777777"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2024</w:t>
            </w:r>
          </w:p>
        </w:tc>
        <w:tc>
          <w:tcPr>
            <w:tcW w:w="1365" w:type="dxa"/>
          </w:tcPr>
          <w:p w14:paraId="6C870EB9" w14:textId="77777777"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United States</w:t>
            </w:r>
          </w:p>
          <w:p w14:paraId="144CB7BC" w14:textId="77777777" w:rsidR="00DD7EBA" w:rsidRPr="00B93713" w:rsidRDefault="00DD7EBA" w:rsidP="00DD7EBA">
            <w:pPr>
              <w:spacing w:before="240"/>
              <w:jc w:val="center"/>
              <w:rPr>
                <w:rFonts w:ascii="Times New Roman" w:hAnsi="Times New Roman" w:cs="Times New Roman"/>
                <w:sz w:val="20"/>
                <w:szCs w:val="20"/>
                <w:lang w:val="en-US"/>
              </w:rPr>
            </w:pPr>
          </w:p>
        </w:tc>
        <w:tc>
          <w:tcPr>
            <w:tcW w:w="1283" w:type="dxa"/>
          </w:tcPr>
          <w:p w14:paraId="5E3169C2" w14:textId="404310E3"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MC</w:t>
            </w:r>
          </w:p>
        </w:tc>
        <w:tc>
          <w:tcPr>
            <w:tcW w:w="1454" w:type="dxa"/>
          </w:tcPr>
          <w:p w14:paraId="28B315BD" w14:textId="1849FFFB" w:rsidR="00DD7EBA" w:rsidRPr="00B93713" w:rsidRDefault="00DD7EBA" w:rsidP="00DD7EBA">
            <w:pPr>
              <w:spacing w:before="24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Open-label Pilot Clinical Trial</w:t>
            </w:r>
          </w:p>
        </w:tc>
        <w:tc>
          <w:tcPr>
            <w:tcW w:w="1056" w:type="dxa"/>
            <w:vAlign w:val="bottom"/>
          </w:tcPr>
          <w:p w14:paraId="7955BA77" w14:textId="59709A85" w:rsidR="00DD7EBA" w:rsidRPr="00B93713" w:rsidRDefault="00DD7EBA" w:rsidP="00DD7EBA">
            <w:pPr>
              <w:spacing w:after="36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27</w:t>
            </w:r>
          </w:p>
        </w:tc>
        <w:tc>
          <w:tcPr>
            <w:tcW w:w="1182" w:type="dxa"/>
          </w:tcPr>
          <w:p w14:paraId="68DF5A05" w14:textId="77777777" w:rsidR="00DD7EBA" w:rsidRPr="00B93713" w:rsidRDefault="00DD7EBA" w:rsidP="00DD7EBA">
            <w:pPr>
              <w:spacing w:before="36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66 (33 - 79)</w:t>
            </w:r>
          </w:p>
        </w:tc>
        <w:tc>
          <w:tcPr>
            <w:tcW w:w="1171" w:type="dxa"/>
          </w:tcPr>
          <w:p w14:paraId="5B8D5625" w14:textId="77777777" w:rsidR="00DD7EBA" w:rsidRPr="00B93713" w:rsidRDefault="00DD7EBA" w:rsidP="00DD7EBA">
            <w:pPr>
              <w:spacing w:before="36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88.8</w:t>
            </w:r>
          </w:p>
        </w:tc>
        <w:tc>
          <w:tcPr>
            <w:tcW w:w="1228" w:type="dxa"/>
          </w:tcPr>
          <w:p w14:paraId="582EAB99" w14:textId="77777777" w:rsidR="00DD7EBA" w:rsidRPr="00B93713" w:rsidRDefault="00DD7EBA" w:rsidP="00DD7EBA">
            <w:pPr>
              <w:spacing w:before="36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30</w:t>
            </w:r>
          </w:p>
        </w:tc>
        <w:tc>
          <w:tcPr>
            <w:tcW w:w="1228" w:type="dxa"/>
          </w:tcPr>
          <w:p w14:paraId="1179E47A" w14:textId="77777777" w:rsidR="00DD7EBA" w:rsidRPr="00B93713" w:rsidRDefault="00DD7EBA" w:rsidP="00DD7EBA">
            <w:pPr>
              <w:jc w:val="center"/>
              <w:rPr>
                <w:rFonts w:ascii="Times New Roman" w:hAnsi="Times New Roman" w:cs="Times New Roman"/>
                <w:sz w:val="20"/>
                <w:szCs w:val="20"/>
                <w:lang w:val="en-US"/>
              </w:rPr>
            </w:pPr>
          </w:p>
          <w:p w14:paraId="0C3ED246"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0</w:t>
            </w:r>
          </w:p>
          <w:p w14:paraId="61157283"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 0</w:t>
            </w:r>
          </w:p>
          <w:p w14:paraId="0ED6F671"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C: 27</w:t>
            </w:r>
          </w:p>
        </w:tc>
        <w:tc>
          <w:tcPr>
            <w:tcW w:w="1640" w:type="dxa"/>
          </w:tcPr>
          <w:p w14:paraId="67B90146" w14:textId="77777777" w:rsidR="00DD7EBA" w:rsidRPr="00B93713" w:rsidRDefault="00DD7EBA" w:rsidP="00DD7EBA">
            <w:pPr>
              <w:jc w:val="center"/>
              <w:rPr>
                <w:rFonts w:ascii="Times New Roman" w:hAnsi="Times New Roman" w:cs="Times New Roman"/>
                <w:sz w:val="20"/>
                <w:szCs w:val="20"/>
                <w:lang w:val="en-US"/>
              </w:rPr>
            </w:pPr>
          </w:p>
          <w:p w14:paraId="3F72CB6C"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26</w:t>
            </w:r>
          </w:p>
          <w:p w14:paraId="31F2C4C7"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B7: 1</w:t>
            </w:r>
          </w:p>
        </w:tc>
        <w:tc>
          <w:tcPr>
            <w:tcW w:w="1640" w:type="dxa"/>
          </w:tcPr>
          <w:p w14:paraId="4973D844" w14:textId="77777777" w:rsidR="00DD7EBA" w:rsidRPr="00B93713" w:rsidRDefault="00DD7EBA" w:rsidP="00DD7EBA">
            <w:pPr>
              <w:spacing w:before="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NA</w:t>
            </w:r>
          </w:p>
        </w:tc>
        <w:tc>
          <w:tcPr>
            <w:tcW w:w="2008" w:type="dxa"/>
          </w:tcPr>
          <w:p w14:paraId="36C5330D" w14:textId="4BA5325B" w:rsidR="00DD7EBA" w:rsidRPr="00B93713" w:rsidRDefault="00DD7EBA" w:rsidP="00DD7EBA">
            <w:pPr>
              <w:spacing w:before="240" w:after="12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Pembrolizumab (200 mg IV every 3 weeks)</w:t>
            </w:r>
          </w:p>
        </w:tc>
        <w:tc>
          <w:tcPr>
            <w:tcW w:w="2008" w:type="dxa"/>
          </w:tcPr>
          <w:p w14:paraId="34082439" w14:textId="5CC40E0B" w:rsidR="00DD7EBA" w:rsidRPr="00B93713" w:rsidRDefault="00DD7EBA" w:rsidP="00DD7EBA">
            <w:pPr>
              <w:spacing w:before="240" w:after="120"/>
              <w:jc w:val="center"/>
              <w:rPr>
                <w:rFonts w:ascii="Times New Roman" w:hAnsi="Times New Roman" w:cs="Times New Roman"/>
                <w:sz w:val="20"/>
                <w:szCs w:val="20"/>
                <w:lang w:val="en-US"/>
              </w:rPr>
            </w:pPr>
            <w:r>
              <w:rPr>
                <w:rFonts w:ascii="Times New Roman" w:hAnsi="Times New Roman" w:cs="Times New Roman"/>
                <w:sz w:val="20"/>
                <w:szCs w:val="20"/>
                <w:lang w:val="en-US"/>
              </w:rPr>
              <w:t>ICI first dose 7 to 10 days before SIRT</w:t>
            </w:r>
          </w:p>
        </w:tc>
      </w:tr>
      <w:tr w:rsidR="00DD7EBA" w:rsidRPr="00084802" w14:paraId="20CDA0DD" w14:textId="3762733A" w:rsidTr="009F3F93">
        <w:trPr>
          <w:trHeight w:val="413"/>
        </w:trPr>
        <w:tc>
          <w:tcPr>
            <w:tcW w:w="1361" w:type="dxa"/>
            <w:vAlign w:val="bottom"/>
          </w:tcPr>
          <w:p w14:paraId="4463A2B6" w14:textId="60A486C3" w:rsidR="00DD7EBA" w:rsidRPr="00B93713" w:rsidRDefault="00DD7EBA" w:rsidP="00DD7EBA">
            <w:pPr>
              <w:spacing w:after="60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 xml:space="preserve">Zhan C </w:t>
            </w:r>
            <w:r w:rsidRPr="00B93713">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{"citationID":"ylYM43sL","properties":{"formattedCitation":"[42]","plainCitation":"[42]","noteIndex":0},"citationItems":[{"id":12997,"uris":["http://zotero.org/groups/5633822/items/X4RWPRIF"],"itemData":{"id":12997,"type":"article-journal","abstract":"PURPOSE: To investigate the safety of yttrium-90 radioembolization in combination with checkpoint inhibitor immunotherapy for the treatment of hepatocellular  carcinoma (HCC). MATERIALS AND METHODS: This single-center retrospective study  included 26 consecutive patients with HCC who received checkpoint inhibitor  immunotherapy within 90 days of radioembolization from April 2015 to May 2018.  Patients had preserved liver function (Child-Pugh scores A-B7) and either  advanced HCC due to macrovascular invasion or limited extrahepatic disease (21  patients) or aggressive intermediate stage HCC that resulted in earlier  incorporation of systemic immunotherapy (5 patients). Clinical documentation,  laboratory results, and imaging results at 1- and 3-month follow-up intervals  were reviewed to assess treatment-related adverse events and treatment responses.  RESULTS: The median follow-up period after radioembolization was 7.8 months (95%  confidence interval [CI], 5.6-11.8). There were no early (30-day) mortality or  grades 3/4 hepatobiliary or immunotherapy-related toxicities. Delayed grades 3/4  hepatobiliary toxicities (1-3 months) occurred in 2 patients in the setting of  HCC disease progression. One patient developed pneumonitis. The median overall  survival from first immunotherapy was 17.2 months (95% CI, 10.9-23.4). The median  overall survival from first radioembolization was 16.5 months (95% CI, 6.6-26.4).  From first radioembolization, time to tumor progression was 5.7 months (95% CI,  4.2-7.2), and progression-free survival was 5.7 months (95% CI, 4.3-7.1).  CONCLUSIONS: Radioembolization combined with checkpoint inhibitor immunotherapy  in cases of HCC appears to be safe and causes limited treatment-related toxicity.  Future prospective studies are needed to identify the optimal combination  treatment protocols and evaluate the efficacy of combination therapy.","container-title":"Journal of vascular and interventional radiology : JVIR","DOI":"10.1016/j.jvir.2019.05.023","ISSN":"1535-7732 1051-0443","issue":"1","journalAbbreviation":"J Vasc Interv Radiol","language":"eng","license":"Copyright © 2019 SIR. Published by Elsevier Inc. All rights reserved.","note":"publisher-place: United States\nPMID: 31422022","page":"25-34","title":"Safety of Combined Yttrium-90 Radioembolization and Immune Checkpoint Inhibitor Immunotherapy for Hepatocellular Carcinoma.","volume":"31","author":[{"family":"Zhan","given":"Chenyang"},{"family":"Ruohoniemi","given":"David"},{"family":"Shanbhogue","given":"Krishna P."},{"family":"Wei","given":"Jason"},{"family":"Welling","given":"Theodore H."},{"family":"Gu","given":"Ping"},{"family":"Park","given":"James S."},{"family":"Dagher","given":"Nabil N."},{"family":"Taslakian","given":"Bedros"},{"family":"Hickey","given":"Ryan M."}],"issued":{"date-parts":[["2020",1]]}}}],"schema":"https://github.com/citation-style-language/schema/raw/master/csl-citation.json"} </w:instrText>
            </w:r>
            <w:r w:rsidRPr="00B93713">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[42]</w:t>
            </w:r>
            <w:r w:rsidRPr="00B93713">
              <w:rPr>
                <w:rFonts w:ascii="Times New Roman" w:hAnsi="Times New Roman" w:cs="Times New Roman"/>
                <w:sz w:val="20"/>
                <w:szCs w:val="20"/>
                <w:lang w:val="en-US"/>
              </w:rPr>
              <w:fldChar w:fldCharType="end"/>
            </w:r>
          </w:p>
        </w:tc>
        <w:tc>
          <w:tcPr>
            <w:tcW w:w="1228" w:type="dxa"/>
          </w:tcPr>
          <w:p w14:paraId="3D65FB4E" w14:textId="77777777" w:rsidR="00DD7EBA" w:rsidRPr="00B93713" w:rsidRDefault="00DD7EBA" w:rsidP="00DD7EBA">
            <w:pPr>
              <w:spacing w:before="60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2020</w:t>
            </w:r>
          </w:p>
        </w:tc>
        <w:tc>
          <w:tcPr>
            <w:tcW w:w="1365" w:type="dxa"/>
          </w:tcPr>
          <w:p w14:paraId="0C66BB5A" w14:textId="77777777" w:rsidR="00DD7EBA" w:rsidRPr="00B93713" w:rsidRDefault="00DD7EBA" w:rsidP="00DD7EBA">
            <w:pPr>
              <w:spacing w:before="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United States</w:t>
            </w:r>
          </w:p>
          <w:p w14:paraId="5C2E2145" w14:textId="77777777" w:rsidR="00DD7EBA" w:rsidRPr="00B93713" w:rsidRDefault="00DD7EBA" w:rsidP="00DD7EBA">
            <w:pPr>
              <w:spacing w:before="480"/>
              <w:jc w:val="center"/>
              <w:rPr>
                <w:rFonts w:ascii="Times New Roman" w:hAnsi="Times New Roman" w:cs="Times New Roman"/>
                <w:sz w:val="20"/>
                <w:szCs w:val="20"/>
                <w:lang w:val="en-US"/>
              </w:rPr>
            </w:pPr>
          </w:p>
        </w:tc>
        <w:tc>
          <w:tcPr>
            <w:tcW w:w="1283" w:type="dxa"/>
          </w:tcPr>
          <w:p w14:paraId="70BF2908" w14:textId="38DE797E" w:rsidR="00DD7EBA" w:rsidRPr="00B93713" w:rsidRDefault="00DD7EBA" w:rsidP="00DD7EBA">
            <w:pPr>
              <w:spacing w:before="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SC</w:t>
            </w:r>
          </w:p>
        </w:tc>
        <w:tc>
          <w:tcPr>
            <w:tcW w:w="1454" w:type="dxa"/>
          </w:tcPr>
          <w:p w14:paraId="7096175B" w14:textId="3A933AA2" w:rsidR="00DD7EBA" w:rsidRPr="00B93713" w:rsidRDefault="00DD7EBA" w:rsidP="00DD7EBA">
            <w:pPr>
              <w:spacing w:before="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Retrospective Cohort</w:t>
            </w:r>
          </w:p>
        </w:tc>
        <w:tc>
          <w:tcPr>
            <w:tcW w:w="1056" w:type="dxa"/>
            <w:vAlign w:val="bottom"/>
          </w:tcPr>
          <w:p w14:paraId="490AFD36" w14:textId="7E09798E" w:rsidR="00DD7EBA" w:rsidRPr="00B93713" w:rsidRDefault="00DD7EBA" w:rsidP="00DD7EBA">
            <w:pPr>
              <w:spacing w:after="60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26</w:t>
            </w:r>
          </w:p>
        </w:tc>
        <w:tc>
          <w:tcPr>
            <w:tcW w:w="1182" w:type="dxa"/>
          </w:tcPr>
          <w:p w14:paraId="45A0E3E6" w14:textId="77777777" w:rsidR="00DD7EBA" w:rsidRPr="00B93713" w:rsidRDefault="00DD7EBA" w:rsidP="00DD7EBA">
            <w:pPr>
              <w:spacing w:before="36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66 (32 – 86)</w:t>
            </w:r>
          </w:p>
        </w:tc>
        <w:tc>
          <w:tcPr>
            <w:tcW w:w="1171" w:type="dxa"/>
          </w:tcPr>
          <w:p w14:paraId="4853BBE1" w14:textId="77777777" w:rsidR="00DD7EBA" w:rsidRPr="00B93713" w:rsidRDefault="00DD7EBA" w:rsidP="00DD7EBA">
            <w:pPr>
              <w:spacing w:before="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69.2</w:t>
            </w:r>
          </w:p>
        </w:tc>
        <w:tc>
          <w:tcPr>
            <w:tcW w:w="1228" w:type="dxa"/>
          </w:tcPr>
          <w:p w14:paraId="4F5B91F6" w14:textId="77777777" w:rsidR="00DD7EBA" w:rsidRPr="00B93713" w:rsidRDefault="00DD7EBA" w:rsidP="00DD7EBA">
            <w:pPr>
              <w:spacing w:before="480"/>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7.8</w:t>
            </w:r>
          </w:p>
        </w:tc>
        <w:tc>
          <w:tcPr>
            <w:tcW w:w="1228" w:type="dxa"/>
          </w:tcPr>
          <w:p w14:paraId="06FB6170" w14:textId="77777777" w:rsidR="00DD7EBA" w:rsidRPr="00B93713" w:rsidRDefault="00DD7EBA" w:rsidP="00DD7EBA">
            <w:pPr>
              <w:jc w:val="center"/>
              <w:rPr>
                <w:rFonts w:ascii="Times New Roman" w:hAnsi="Times New Roman" w:cs="Times New Roman"/>
                <w:sz w:val="20"/>
                <w:szCs w:val="20"/>
                <w:lang w:val="en-US"/>
              </w:rPr>
            </w:pPr>
          </w:p>
          <w:p w14:paraId="74D5BBB5"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0</w:t>
            </w:r>
          </w:p>
          <w:p w14:paraId="468F0D88"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 5</w:t>
            </w:r>
          </w:p>
          <w:p w14:paraId="79070121"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C: 21</w:t>
            </w:r>
          </w:p>
        </w:tc>
        <w:tc>
          <w:tcPr>
            <w:tcW w:w="1640" w:type="dxa"/>
          </w:tcPr>
          <w:p w14:paraId="1CC35051" w14:textId="77777777" w:rsidR="00DD7EBA" w:rsidRPr="00B93713" w:rsidRDefault="00DD7EBA" w:rsidP="00DD7EBA">
            <w:pPr>
              <w:jc w:val="center"/>
              <w:rPr>
                <w:rFonts w:ascii="Times New Roman" w:hAnsi="Times New Roman" w:cs="Times New Roman"/>
                <w:sz w:val="20"/>
                <w:szCs w:val="20"/>
                <w:lang w:val="en-US"/>
              </w:rPr>
            </w:pPr>
          </w:p>
          <w:p w14:paraId="0BECFA89" w14:textId="77777777" w:rsidR="00DD7EBA" w:rsidRPr="00B93713" w:rsidRDefault="00DD7EBA" w:rsidP="00DD7EBA">
            <w:pPr>
              <w:jc w:val="center"/>
              <w:rPr>
                <w:rFonts w:ascii="Times New Roman" w:hAnsi="Times New Roman" w:cs="Times New Roman"/>
                <w:sz w:val="20"/>
                <w:szCs w:val="20"/>
                <w:lang w:val="en-US"/>
              </w:rPr>
            </w:pPr>
          </w:p>
          <w:p w14:paraId="1D541BB5"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A: 20</w:t>
            </w:r>
          </w:p>
          <w:p w14:paraId="3EB7C299"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B: 6</w:t>
            </w:r>
          </w:p>
        </w:tc>
        <w:tc>
          <w:tcPr>
            <w:tcW w:w="1640" w:type="dxa"/>
          </w:tcPr>
          <w:p w14:paraId="2AB14B3D" w14:textId="77777777" w:rsidR="00DD7EBA" w:rsidRPr="00B93713" w:rsidRDefault="00DD7EBA" w:rsidP="00DD7EBA">
            <w:pPr>
              <w:jc w:val="center"/>
              <w:rPr>
                <w:rFonts w:ascii="Times New Roman" w:hAnsi="Times New Roman" w:cs="Times New Roman"/>
                <w:sz w:val="20"/>
                <w:szCs w:val="20"/>
                <w:lang w:val="en-US"/>
              </w:rPr>
            </w:pPr>
          </w:p>
          <w:p w14:paraId="6EA02CF6"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LR: 4</w:t>
            </w:r>
          </w:p>
          <w:p w14:paraId="11E9D65A"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PA: 1</w:t>
            </w:r>
          </w:p>
          <w:p w14:paraId="52D0ED45"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TACE: 7</w:t>
            </w:r>
          </w:p>
          <w:p w14:paraId="342B6136"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SBRT: 1</w:t>
            </w:r>
          </w:p>
          <w:p w14:paraId="7F3D12BB"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Sorafenib: 2</w:t>
            </w:r>
          </w:p>
        </w:tc>
        <w:tc>
          <w:tcPr>
            <w:tcW w:w="2008" w:type="dxa"/>
          </w:tcPr>
          <w:p w14:paraId="78B05C30" w14:textId="77777777" w:rsidR="00DD7EBA" w:rsidRPr="00B93713" w:rsidRDefault="00DD7EBA" w:rsidP="00DD7EBA">
            <w:pPr>
              <w:jc w:val="center"/>
              <w:rPr>
                <w:rFonts w:ascii="Times New Roman" w:hAnsi="Times New Roman" w:cs="Times New Roman"/>
                <w:sz w:val="20"/>
                <w:szCs w:val="20"/>
                <w:lang w:val="en-US"/>
              </w:rPr>
            </w:pPr>
            <w:r w:rsidRPr="00B93713">
              <w:rPr>
                <w:rFonts w:ascii="Times New Roman" w:hAnsi="Times New Roman" w:cs="Times New Roman"/>
                <w:sz w:val="20"/>
                <w:szCs w:val="20"/>
                <w:lang w:val="en-US"/>
              </w:rPr>
              <w:t>Nivolumab (3mg/kg every 2 weeks) or Nivolumab (3 mg/kg every 2 weeks) + Ipilimumab (1 mg/kg every 6 weeks)</w:t>
            </w:r>
          </w:p>
        </w:tc>
        <w:tc>
          <w:tcPr>
            <w:tcW w:w="2008" w:type="dxa"/>
          </w:tcPr>
          <w:p w14:paraId="685BB3F4" w14:textId="77777777" w:rsidR="00DD7EBA" w:rsidRDefault="00DD7EBA" w:rsidP="00DD7EBA">
            <w:pPr>
              <w:jc w:val="center"/>
              <w:rPr>
                <w:rFonts w:ascii="Times New Roman" w:hAnsi="Times New Roman" w:cs="Times New Roman"/>
                <w:sz w:val="20"/>
                <w:szCs w:val="20"/>
                <w:lang w:val="en-US"/>
              </w:rPr>
            </w:pPr>
            <w:r>
              <w:rPr>
                <w:rFonts w:ascii="Times New Roman" w:hAnsi="Times New Roman" w:cs="Times New Roman"/>
                <w:sz w:val="20"/>
                <w:szCs w:val="20"/>
                <w:lang w:val="en-US"/>
              </w:rPr>
              <w:t>10 patients: ICIs before SIRT</w:t>
            </w:r>
          </w:p>
          <w:p w14:paraId="2113906D" w14:textId="77777777" w:rsidR="00DD7EBA" w:rsidRDefault="00DD7EBA" w:rsidP="00DD7EBA">
            <w:pPr>
              <w:jc w:val="center"/>
              <w:rPr>
                <w:rFonts w:ascii="Times New Roman" w:hAnsi="Times New Roman" w:cs="Times New Roman"/>
                <w:sz w:val="20"/>
                <w:szCs w:val="20"/>
                <w:lang w:val="en-US"/>
              </w:rPr>
            </w:pPr>
            <w:r>
              <w:rPr>
                <w:rFonts w:ascii="Times New Roman" w:hAnsi="Times New Roman" w:cs="Times New Roman"/>
                <w:sz w:val="20"/>
                <w:szCs w:val="20"/>
                <w:lang w:val="en-US"/>
              </w:rPr>
              <w:t>3 patients: ICIs concurrent with SIRT</w:t>
            </w:r>
          </w:p>
          <w:p w14:paraId="56EB4DB6" w14:textId="069877F3" w:rsidR="00DD7EBA" w:rsidRPr="00B93713" w:rsidRDefault="00DD7EBA" w:rsidP="00DD7EBA">
            <w:pPr>
              <w:jc w:val="center"/>
              <w:rPr>
                <w:rFonts w:ascii="Times New Roman" w:hAnsi="Times New Roman" w:cs="Times New Roman"/>
                <w:sz w:val="20"/>
                <w:szCs w:val="20"/>
                <w:lang w:val="en-US"/>
              </w:rPr>
            </w:pPr>
            <w:r>
              <w:rPr>
                <w:rFonts w:ascii="Times New Roman" w:hAnsi="Times New Roman" w:cs="Times New Roman"/>
                <w:sz w:val="20"/>
                <w:szCs w:val="20"/>
                <w:lang w:val="en-US"/>
              </w:rPr>
              <w:t>13 patients: ICIs after SIRT</w:t>
            </w:r>
          </w:p>
        </w:tc>
      </w:tr>
    </w:tbl>
    <w:p w14:paraId="7F8D9450" w14:textId="37C787C1" w:rsidR="0039525C" w:rsidRDefault="00DD7EBA" w:rsidP="00164001">
      <w:pPr>
        <w:tabs>
          <w:tab w:val="left" w:pos="14832"/>
        </w:tabs>
        <w:rPr>
          <w:rFonts w:ascii="Times New Roman" w:hAnsi="Times New Roman" w:cs="Times New Roman"/>
          <w:sz w:val="22"/>
          <w:szCs w:val="22"/>
          <w:lang w:val="en-US"/>
        </w:rPr>
      </w:pPr>
      <w:r w:rsidRPr="00084802">
        <w:rPr>
          <w:rFonts w:ascii="Times New Roman" w:hAnsi="Times New Roman" w:cs="Times New Roman"/>
          <w:noProof/>
          <w:sz w:val="22"/>
          <w:szCs w:val="22"/>
          <w:lang w:val="en-US"/>
        </w:rPr>
        <mc:AlternateContent>
          <mc:Choice Requires="wps">
            <w:drawing>
              <wp:anchor distT="0" distB="0" distL="114300" distR="114300" simplePos="0" relativeHeight="251663360" behindDoc="0" locked="0" layoutInCell="1" allowOverlap="1" wp14:anchorId="311E27D9" wp14:editId="2A426EDC">
                <wp:simplePos x="0" y="0"/>
                <wp:positionH relativeFrom="column">
                  <wp:posOffset>263701</wp:posOffset>
                </wp:positionH>
                <wp:positionV relativeFrom="paragraph">
                  <wp:posOffset>6564026</wp:posOffset>
                </wp:positionV>
                <wp:extent cx="4828032" cy="459740"/>
                <wp:effectExtent l="0" t="0" r="0" b="0"/>
                <wp:wrapNone/>
                <wp:docPr id="1251606006" name="Text Box 1"/>
                <wp:cNvGraphicFramePr/>
                <a:graphic xmlns:a="http://schemas.openxmlformats.org/drawingml/2006/main">
                  <a:graphicData uri="http://schemas.microsoft.com/office/word/2010/wordprocessingShape">
                    <wps:wsp>
                      <wps:cNvSpPr txBox="1"/>
                      <wps:spPr>
                        <a:xfrm>
                          <a:off x="0" y="0"/>
                          <a:ext cx="4828032" cy="459740"/>
                        </a:xfrm>
                        <a:prstGeom prst="rect">
                          <a:avLst/>
                        </a:prstGeom>
                        <a:noFill/>
                        <a:ln w="6350">
                          <a:noFill/>
                        </a:ln>
                      </wps:spPr>
                      <wps:txbx>
                        <w:txbxContent>
                          <w:p w14:paraId="3972813D" w14:textId="77777777" w:rsidR="0014443C" w:rsidRPr="00C978BA" w:rsidRDefault="0014443C" w:rsidP="0014443C">
                            <w:pPr>
                              <w:rPr>
                                <w:rFonts w:ascii="Times New Roman" w:hAnsi="Times New Roman" w:cs="Times New Roman"/>
                                <w:sz w:val="20"/>
                                <w:szCs w:val="20"/>
                                <w:lang w:val="pt-BR"/>
                              </w:rPr>
                            </w:pPr>
                            <w:r w:rsidRPr="00D72D63">
                              <w:rPr>
                                <w:rFonts w:ascii="Times New Roman" w:hAnsi="Times New Roman" w:cs="Times New Roman"/>
                                <w:sz w:val="20"/>
                                <w:szCs w:val="20"/>
                                <w:lang w:val="pt-BR"/>
                              </w:rPr>
                              <w:t>*The treatment was not specified</w:t>
                            </w:r>
                          </w:p>
                          <w:p w14:paraId="78D4E4D0" w14:textId="77777777" w:rsidR="0014443C" w:rsidRPr="00BE1A0D" w:rsidRDefault="0014443C" w:rsidP="0014443C">
                            <w:pPr>
                              <w:rPr>
                                <w:rFonts w:ascii="Times New Roman" w:hAnsi="Times New Roman" w:cs="Times New Roman"/>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E27D9" id="Text Box 1" o:spid="_x0000_s1028" type="#_x0000_t202" style="position:absolute;margin-left:20.75pt;margin-top:516.85pt;width:380.15pt;height:36.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" filled="f" stroked="f" strokeweight=".5pt">
                <v:textbox>
                  <w:txbxContent>
                    <w:p w14:paraId="3972813D" w14:textId="77777777" w:rsidR="0014443C" w:rsidRPr="00C978BA" w:rsidRDefault="0014443C" w:rsidP="0014443C">
                      <w:pPr>
                        <w:rPr>
                          <w:rFonts w:ascii="Times New Roman" w:hAnsi="Times New Roman" w:cs="Times New Roman"/>
                          <w:sz w:val="20"/>
                          <w:szCs w:val="20"/>
                          <w:lang w:val="pt-BR"/>
                        </w:rPr>
                      </w:pPr>
                      <w:r w:rsidRPr="00D72D63">
                        <w:rPr>
                          <w:rFonts w:ascii="Times New Roman" w:hAnsi="Times New Roman" w:cs="Times New Roman"/>
                          <w:sz w:val="20"/>
                          <w:szCs w:val="20"/>
                          <w:lang w:val="pt-BR"/>
                        </w:rPr>
                        <w:t xml:space="preserve">*The </w:t>
                      </w:r>
                      <w:proofErr w:type="spellStart"/>
                      <w:r w:rsidRPr="00D72D63">
                        <w:rPr>
                          <w:rFonts w:ascii="Times New Roman" w:hAnsi="Times New Roman" w:cs="Times New Roman"/>
                          <w:sz w:val="20"/>
                          <w:szCs w:val="20"/>
                          <w:lang w:val="pt-BR"/>
                        </w:rPr>
                        <w:t>treatment</w:t>
                      </w:r>
                      <w:proofErr w:type="spellEnd"/>
                      <w:r w:rsidRPr="00D72D63">
                        <w:rPr>
                          <w:rFonts w:ascii="Times New Roman" w:hAnsi="Times New Roman" w:cs="Times New Roman"/>
                          <w:sz w:val="20"/>
                          <w:szCs w:val="20"/>
                          <w:lang w:val="pt-BR"/>
                        </w:rPr>
                        <w:t xml:space="preserve"> </w:t>
                      </w:r>
                      <w:proofErr w:type="spellStart"/>
                      <w:r w:rsidRPr="00D72D63">
                        <w:rPr>
                          <w:rFonts w:ascii="Times New Roman" w:hAnsi="Times New Roman" w:cs="Times New Roman"/>
                          <w:sz w:val="20"/>
                          <w:szCs w:val="20"/>
                          <w:lang w:val="pt-BR"/>
                        </w:rPr>
                        <w:t>was</w:t>
                      </w:r>
                      <w:proofErr w:type="spellEnd"/>
                      <w:r w:rsidRPr="00D72D63">
                        <w:rPr>
                          <w:rFonts w:ascii="Times New Roman" w:hAnsi="Times New Roman" w:cs="Times New Roman"/>
                          <w:sz w:val="20"/>
                          <w:szCs w:val="20"/>
                          <w:lang w:val="pt-BR"/>
                        </w:rPr>
                        <w:t xml:space="preserve"> </w:t>
                      </w:r>
                      <w:proofErr w:type="spellStart"/>
                      <w:r w:rsidRPr="00D72D63">
                        <w:rPr>
                          <w:rFonts w:ascii="Times New Roman" w:hAnsi="Times New Roman" w:cs="Times New Roman"/>
                          <w:sz w:val="20"/>
                          <w:szCs w:val="20"/>
                          <w:lang w:val="pt-BR"/>
                        </w:rPr>
                        <w:t>not</w:t>
                      </w:r>
                      <w:proofErr w:type="spellEnd"/>
                      <w:r w:rsidRPr="00D72D63">
                        <w:rPr>
                          <w:rFonts w:ascii="Times New Roman" w:hAnsi="Times New Roman" w:cs="Times New Roman"/>
                          <w:sz w:val="20"/>
                          <w:szCs w:val="20"/>
                          <w:lang w:val="pt-BR"/>
                        </w:rPr>
                        <w:t xml:space="preserve"> </w:t>
                      </w:r>
                      <w:proofErr w:type="spellStart"/>
                      <w:r w:rsidRPr="00D72D63">
                        <w:rPr>
                          <w:rFonts w:ascii="Times New Roman" w:hAnsi="Times New Roman" w:cs="Times New Roman"/>
                          <w:sz w:val="20"/>
                          <w:szCs w:val="20"/>
                          <w:lang w:val="pt-BR"/>
                        </w:rPr>
                        <w:t>specified</w:t>
                      </w:r>
                      <w:proofErr w:type="spellEnd"/>
                    </w:p>
                    <w:p w14:paraId="78D4E4D0" w14:textId="77777777" w:rsidR="0014443C" w:rsidRPr="00BE1A0D" w:rsidRDefault="0014443C" w:rsidP="0014443C">
                      <w:pPr>
                        <w:rPr>
                          <w:rFonts w:ascii="Times New Roman" w:hAnsi="Times New Roman" w:cs="Times New Roman"/>
                          <w:lang w:val="pt-BR"/>
                        </w:rPr>
                      </w:pPr>
                    </w:p>
                  </w:txbxContent>
                </v:textbox>
              </v:shape>
            </w:pict>
          </mc:Fallback>
        </mc:AlternateContent>
      </w:r>
      <w:r w:rsidR="009F3F93" w:rsidRPr="00084802">
        <w:rPr>
          <w:rFonts w:ascii="Times New Roman" w:hAnsi="Times New Roman" w:cs="Times New Roman"/>
          <w:noProof/>
          <w:sz w:val="22"/>
          <w:szCs w:val="22"/>
          <w:lang w:val="en-US"/>
        </w:rPr>
        <mc:AlternateContent>
          <mc:Choice Requires="wps">
            <w:drawing>
              <wp:anchor distT="0" distB="0" distL="114300" distR="114300" simplePos="0" relativeHeight="251661312" behindDoc="0" locked="0" layoutInCell="1" allowOverlap="1" wp14:anchorId="3EEB9EC8" wp14:editId="606B0367">
                <wp:simplePos x="0" y="0"/>
                <wp:positionH relativeFrom="column">
                  <wp:posOffset>307818</wp:posOffset>
                </wp:positionH>
                <wp:positionV relativeFrom="paragraph">
                  <wp:posOffset>5893806</wp:posOffset>
                </wp:positionV>
                <wp:extent cx="12593370" cy="669956"/>
                <wp:effectExtent l="0" t="0" r="0" b="0"/>
                <wp:wrapNone/>
                <wp:docPr id="1406624773" name="Text Box 1"/>
                <wp:cNvGraphicFramePr/>
                <a:graphic xmlns:a="http://schemas.openxmlformats.org/drawingml/2006/main">
                  <a:graphicData uri="http://schemas.microsoft.com/office/word/2010/wordprocessingShape">
                    <wps:wsp>
                      <wps:cNvSpPr txBox="1"/>
                      <wps:spPr>
                        <a:xfrm>
                          <a:off x="0" y="0"/>
                          <a:ext cx="12593370" cy="669956"/>
                        </a:xfrm>
                        <a:prstGeom prst="rect">
                          <a:avLst/>
                        </a:prstGeom>
                        <a:noFill/>
                        <a:ln w="6350">
                          <a:noFill/>
                        </a:ln>
                      </wps:spPr>
                      <wps:txbx>
                        <w:txbxContent>
                          <w:p w14:paraId="17690772" w14:textId="7E3A244F" w:rsidR="009F3F93" w:rsidRPr="00084802" w:rsidRDefault="0014443C" w:rsidP="009F3F93">
                            <w:pPr>
                              <w:tabs>
                                <w:tab w:val="left" w:pos="2260"/>
                              </w:tabs>
                              <w:spacing w:line="360" w:lineRule="auto"/>
                              <w:rPr>
                                <w:rFonts w:ascii="Times New Roman" w:eastAsia="Times New Roman" w:hAnsi="Times New Roman" w:cs="Times New Roman"/>
                                <w:color w:val="000000"/>
                                <w:kern w:val="0"/>
                                <w:sz w:val="22"/>
                                <w:szCs w:val="22"/>
                                <w:lang w:val="en-US"/>
                                <w14:ligatures w14:val="none"/>
                              </w:rPr>
                            </w:pPr>
                            <w:r w:rsidRPr="00430279">
                              <w:rPr>
                                <w:rFonts w:ascii="Times New Roman" w:hAnsi="Times New Roman" w:cs="Times New Roman"/>
                                <w:sz w:val="20"/>
                                <w:szCs w:val="20"/>
                              </w:rPr>
                              <w:t>SC = Single Center</w:t>
                            </w:r>
                            <w:r>
                              <w:rPr>
                                <w:rFonts w:ascii="Times New Roman" w:hAnsi="Times New Roman" w:cs="Times New Roman"/>
                                <w:sz w:val="20"/>
                                <w:szCs w:val="20"/>
                              </w:rPr>
                              <w:t xml:space="preserve">; </w:t>
                            </w:r>
                            <w:r w:rsidRPr="00430279">
                              <w:rPr>
                                <w:rFonts w:ascii="Times New Roman" w:hAnsi="Times New Roman" w:cs="Times New Roman"/>
                                <w:sz w:val="20"/>
                                <w:szCs w:val="20"/>
                              </w:rPr>
                              <w:t>MC = Multicenter</w:t>
                            </w:r>
                            <w:r>
                              <w:rPr>
                                <w:rFonts w:ascii="Times New Roman" w:hAnsi="Times New Roman" w:cs="Times New Roman"/>
                                <w:sz w:val="20"/>
                                <w:szCs w:val="20"/>
                              </w:rPr>
                              <w:t xml:space="preserve">; n = number of patients; </w:t>
                            </w:r>
                            <w:r w:rsidRPr="008237B8">
                              <w:rPr>
                                <w:rFonts w:ascii="Times New Roman" w:hAnsi="Times New Roman" w:cs="Times New Roman"/>
                                <w:sz w:val="20"/>
                                <w:szCs w:val="20"/>
                              </w:rPr>
                              <w:t>NA = Not Applicable</w:t>
                            </w:r>
                            <w:r>
                              <w:rPr>
                                <w:rFonts w:ascii="Times New Roman" w:hAnsi="Times New Roman" w:cs="Times New Roman"/>
                                <w:sz w:val="20"/>
                                <w:szCs w:val="20"/>
                              </w:rPr>
                              <w:t xml:space="preserve">; LR = Liver Resection; PA = Percutaneous Ablation; TACE = Transarterial Chemoembolization; </w:t>
                            </w:r>
                            <w:r w:rsidRPr="00AB68A9">
                              <w:rPr>
                                <w:rFonts w:ascii="Times New Roman" w:hAnsi="Times New Roman" w:cs="Times New Roman"/>
                                <w:sz w:val="20"/>
                                <w:szCs w:val="20"/>
                              </w:rPr>
                              <w:t xml:space="preserve">SBRT </w:t>
                            </w:r>
                            <w:r>
                              <w:rPr>
                                <w:rFonts w:ascii="Times New Roman" w:hAnsi="Times New Roman" w:cs="Times New Roman"/>
                                <w:sz w:val="20"/>
                                <w:szCs w:val="20"/>
                              </w:rPr>
                              <w:t>=</w:t>
                            </w:r>
                            <w:r w:rsidRPr="00AB68A9">
                              <w:rPr>
                                <w:rFonts w:ascii="Times New Roman" w:hAnsi="Times New Roman" w:cs="Times New Roman"/>
                                <w:sz w:val="20"/>
                                <w:szCs w:val="20"/>
                              </w:rPr>
                              <w:t xml:space="preserve"> </w:t>
                            </w:r>
                            <w:r>
                              <w:rPr>
                                <w:rFonts w:ascii="Times New Roman" w:hAnsi="Times New Roman" w:cs="Times New Roman"/>
                                <w:sz w:val="20"/>
                                <w:szCs w:val="20"/>
                              </w:rPr>
                              <w:t>S</w:t>
                            </w:r>
                            <w:r w:rsidRPr="00AB68A9">
                              <w:rPr>
                                <w:rFonts w:ascii="Times New Roman" w:hAnsi="Times New Roman" w:cs="Times New Roman"/>
                                <w:sz w:val="20"/>
                                <w:szCs w:val="20"/>
                              </w:rPr>
                              <w:t xml:space="preserve">tereotactic </w:t>
                            </w:r>
                            <w:r>
                              <w:rPr>
                                <w:rFonts w:ascii="Times New Roman" w:hAnsi="Times New Roman" w:cs="Times New Roman"/>
                                <w:sz w:val="20"/>
                                <w:szCs w:val="20"/>
                              </w:rPr>
                              <w:t>B</w:t>
                            </w:r>
                            <w:r w:rsidRPr="00AB68A9">
                              <w:rPr>
                                <w:rFonts w:ascii="Times New Roman" w:hAnsi="Times New Roman" w:cs="Times New Roman"/>
                                <w:sz w:val="20"/>
                                <w:szCs w:val="20"/>
                              </w:rPr>
                              <w:t xml:space="preserve">ody </w:t>
                            </w:r>
                            <w:r>
                              <w:rPr>
                                <w:rFonts w:ascii="Times New Roman" w:hAnsi="Times New Roman" w:cs="Times New Roman"/>
                                <w:sz w:val="20"/>
                                <w:szCs w:val="20"/>
                              </w:rPr>
                              <w:t>R</w:t>
                            </w:r>
                            <w:r w:rsidRPr="00AB68A9">
                              <w:rPr>
                                <w:rFonts w:ascii="Times New Roman" w:hAnsi="Times New Roman" w:cs="Times New Roman"/>
                                <w:sz w:val="20"/>
                                <w:szCs w:val="20"/>
                              </w:rPr>
                              <w:t xml:space="preserve">adiation </w:t>
                            </w:r>
                            <w:r>
                              <w:rPr>
                                <w:rFonts w:ascii="Times New Roman" w:hAnsi="Times New Roman" w:cs="Times New Roman"/>
                                <w:sz w:val="20"/>
                                <w:szCs w:val="20"/>
                              </w:rPr>
                              <w:t>T</w:t>
                            </w:r>
                            <w:r w:rsidRPr="00AB68A9">
                              <w:rPr>
                                <w:rFonts w:ascii="Times New Roman" w:hAnsi="Times New Roman" w:cs="Times New Roman"/>
                                <w:sz w:val="20"/>
                                <w:szCs w:val="20"/>
                              </w:rPr>
                              <w:t>herapy</w:t>
                            </w:r>
                            <w:r>
                              <w:rPr>
                                <w:rFonts w:ascii="Times New Roman" w:hAnsi="Times New Roman" w:cs="Times New Roman"/>
                                <w:sz w:val="20"/>
                                <w:szCs w:val="20"/>
                              </w:rPr>
                              <w:t>; BE = Bland Embolization</w:t>
                            </w:r>
                            <w:r w:rsidR="009F3F93">
                              <w:rPr>
                                <w:rFonts w:ascii="Times New Roman" w:hAnsi="Times New Roman" w:cs="Times New Roman"/>
                                <w:sz w:val="20"/>
                                <w:szCs w:val="20"/>
                              </w:rPr>
                              <w:t xml:space="preserve">; ICI = </w:t>
                            </w:r>
                            <w:r w:rsidR="009F3F93" w:rsidRPr="00084802">
                              <w:rPr>
                                <w:rFonts w:ascii="Times New Roman" w:eastAsia="Times New Roman" w:hAnsi="Times New Roman" w:cs="Times New Roman"/>
                                <w:color w:val="000000"/>
                                <w:kern w:val="0"/>
                                <w:sz w:val="22"/>
                                <w:szCs w:val="22"/>
                                <w:lang w:val="en-US"/>
                                <w14:ligatures w14:val="none"/>
                              </w:rPr>
                              <w:t>Immune Checkpoint Inhibitor</w:t>
                            </w:r>
                            <w:r w:rsidR="00DD7EBA">
                              <w:rPr>
                                <w:rFonts w:ascii="Times New Roman" w:eastAsia="Times New Roman" w:hAnsi="Times New Roman" w:cs="Times New Roman"/>
                                <w:color w:val="000000"/>
                                <w:kern w:val="0"/>
                                <w:sz w:val="22"/>
                                <w:szCs w:val="22"/>
                                <w:lang w:val="en-US"/>
                                <w14:ligatures w14:val="none"/>
                              </w:rPr>
                              <w:t xml:space="preserve">, ICIs = </w:t>
                            </w:r>
                            <w:r w:rsidR="00DD7EBA" w:rsidRPr="00084802">
                              <w:rPr>
                                <w:rFonts w:ascii="Times New Roman" w:eastAsia="Times New Roman" w:hAnsi="Times New Roman" w:cs="Times New Roman"/>
                                <w:color w:val="000000"/>
                                <w:kern w:val="0"/>
                                <w:sz w:val="22"/>
                                <w:szCs w:val="22"/>
                                <w:lang w:val="en-US"/>
                                <w14:ligatures w14:val="none"/>
                              </w:rPr>
                              <w:t>Immune Checkpoint Inhibitor</w:t>
                            </w:r>
                            <w:r w:rsidR="00DD7EBA">
                              <w:rPr>
                                <w:rFonts w:ascii="Times New Roman" w:eastAsia="Times New Roman" w:hAnsi="Times New Roman" w:cs="Times New Roman"/>
                                <w:color w:val="000000"/>
                                <w:kern w:val="0"/>
                                <w:sz w:val="22"/>
                                <w:szCs w:val="22"/>
                                <w:lang w:val="en-US"/>
                                <w14:ligatures w14:val="none"/>
                              </w:rPr>
                              <w:t>s</w:t>
                            </w:r>
                          </w:p>
                          <w:p w14:paraId="76A38AB4" w14:textId="334F57DD" w:rsidR="0014443C" w:rsidRPr="00805613" w:rsidRDefault="009F3F93" w:rsidP="0014443C">
                            <w:pPr>
                              <w:rPr>
                                <w:rFonts w:ascii="Times New Roman" w:hAnsi="Times New Roman" w:cs="Times New Roman"/>
                                <w:sz w:val="20"/>
                                <w:szCs w:val="20"/>
                              </w:rPr>
                            </w:pPr>
                            <w:r>
                              <w:rPr>
                                <w:rFonts w:ascii="Times New Roman" w:hAnsi="Times New Roman" w:cs="Times New Roman"/>
                                <w:sz w:val="20"/>
                                <w:szCs w:val="20"/>
                              </w:rPr>
                              <w:t xml:space="preserve"> </w:t>
                            </w:r>
                            <w:r w:rsidR="0014443C" w:rsidRPr="00AB68A9">
                              <w:rPr>
                                <w:rFonts w:ascii="Times New Roman" w:hAnsi="Times New Roman" w:cs="Times New Roman"/>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EB9EC8" id="_x0000_s1029" type="#_x0000_t202" style="position:absolute;margin-left:24.25pt;margin-top:464.1pt;width:991.6pt;height:5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" filled="f" stroked="f" strokeweight=".5pt">
                <v:textbox>
                  <w:txbxContent>
                    <w:p w14:paraId="17690772" w14:textId="7E3A244F" w:rsidR="009F3F93" w:rsidRPr="00084802" w:rsidRDefault="0014443C" w:rsidP="009F3F93">
                      <w:pPr>
                        <w:tabs>
                          <w:tab w:val="left" w:pos="2260"/>
                        </w:tabs>
                        <w:spacing w:line="360" w:lineRule="auto"/>
                        <w:rPr>
                          <w:rFonts w:ascii="Times New Roman" w:eastAsia="Times New Roman" w:hAnsi="Times New Roman" w:cs="Times New Roman"/>
                          <w:color w:val="000000"/>
                          <w:kern w:val="0"/>
                          <w:sz w:val="22"/>
                          <w:szCs w:val="22"/>
                          <w:lang w:val="en-US"/>
                          <w14:ligatures w14:val="none"/>
                        </w:rPr>
                      </w:pPr>
                      <w:r w:rsidRPr="00430279">
                        <w:rPr>
                          <w:rFonts w:ascii="Times New Roman" w:hAnsi="Times New Roman" w:cs="Times New Roman"/>
                          <w:sz w:val="20"/>
                          <w:szCs w:val="20"/>
                        </w:rPr>
                        <w:t>SC = Single Center</w:t>
                      </w:r>
                      <w:r>
                        <w:rPr>
                          <w:rFonts w:ascii="Times New Roman" w:hAnsi="Times New Roman" w:cs="Times New Roman"/>
                          <w:sz w:val="20"/>
                          <w:szCs w:val="20"/>
                        </w:rPr>
                        <w:t xml:space="preserve">; </w:t>
                      </w:r>
                      <w:r w:rsidRPr="00430279">
                        <w:rPr>
                          <w:rFonts w:ascii="Times New Roman" w:hAnsi="Times New Roman" w:cs="Times New Roman"/>
                          <w:sz w:val="20"/>
                          <w:szCs w:val="20"/>
                        </w:rPr>
                        <w:t>MC = Multicenter</w:t>
                      </w:r>
                      <w:r>
                        <w:rPr>
                          <w:rFonts w:ascii="Times New Roman" w:hAnsi="Times New Roman" w:cs="Times New Roman"/>
                          <w:sz w:val="20"/>
                          <w:szCs w:val="20"/>
                        </w:rPr>
                        <w:t xml:space="preserve">; n = number of patients; </w:t>
                      </w:r>
                      <w:r w:rsidRPr="008237B8">
                        <w:rPr>
                          <w:rFonts w:ascii="Times New Roman" w:hAnsi="Times New Roman" w:cs="Times New Roman"/>
                          <w:sz w:val="20"/>
                          <w:szCs w:val="20"/>
                        </w:rPr>
                        <w:t>NA = Not Applicable</w:t>
                      </w:r>
                      <w:r>
                        <w:rPr>
                          <w:rFonts w:ascii="Times New Roman" w:hAnsi="Times New Roman" w:cs="Times New Roman"/>
                          <w:sz w:val="20"/>
                          <w:szCs w:val="20"/>
                        </w:rPr>
                        <w:t xml:space="preserve">; LR = Liver Resection; PA = Percutaneous Ablation; TACE = Transarterial Chemoembolization; </w:t>
                      </w:r>
                      <w:r w:rsidRPr="00AB68A9">
                        <w:rPr>
                          <w:rFonts w:ascii="Times New Roman" w:hAnsi="Times New Roman" w:cs="Times New Roman"/>
                          <w:sz w:val="20"/>
                          <w:szCs w:val="20"/>
                        </w:rPr>
                        <w:t xml:space="preserve">SBRT </w:t>
                      </w:r>
                      <w:r>
                        <w:rPr>
                          <w:rFonts w:ascii="Times New Roman" w:hAnsi="Times New Roman" w:cs="Times New Roman"/>
                          <w:sz w:val="20"/>
                          <w:szCs w:val="20"/>
                        </w:rPr>
                        <w:t>=</w:t>
                      </w:r>
                      <w:r w:rsidRPr="00AB68A9">
                        <w:rPr>
                          <w:rFonts w:ascii="Times New Roman" w:hAnsi="Times New Roman" w:cs="Times New Roman"/>
                          <w:sz w:val="20"/>
                          <w:szCs w:val="20"/>
                        </w:rPr>
                        <w:t xml:space="preserve"> </w:t>
                      </w:r>
                      <w:r>
                        <w:rPr>
                          <w:rFonts w:ascii="Times New Roman" w:hAnsi="Times New Roman" w:cs="Times New Roman"/>
                          <w:sz w:val="20"/>
                          <w:szCs w:val="20"/>
                        </w:rPr>
                        <w:t>S</w:t>
                      </w:r>
                      <w:r w:rsidRPr="00AB68A9">
                        <w:rPr>
                          <w:rFonts w:ascii="Times New Roman" w:hAnsi="Times New Roman" w:cs="Times New Roman"/>
                          <w:sz w:val="20"/>
                          <w:szCs w:val="20"/>
                        </w:rPr>
                        <w:t xml:space="preserve">tereotactic </w:t>
                      </w:r>
                      <w:r>
                        <w:rPr>
                          <w:rFonts w:ascii="Times New Roman" w:hAnsi="Times New Roman" w:cs="Times New Roman"/>
                          <w:sz w:val="20"/>
                          <w:szCs w:val="20"/>
                        </w:rPr>
                        <w:t>B</w:t>
                      </w:r>
                      <w:r w:rsidRPr="00AB68A9">
                        <w:rPr>
                          <w:rFonts w:ascii="Times New Roman" w:hAnsi="Times New Roman" w:cs="Times New Roman"/>
                          <w:sz w:val="20"/>
                          <w:szCs w:val="20"/>
                        </w:rPr>
                        <w:t xml:space="preserve">ody </w:t>
                      </w:r>
                      <w:r>
                        <w:rPr>
                          <w:rFonts w:ascii="Times New Roman" w:hAnsi="Times New Roman" w:cs="Times New Roman"/>
                          <w:sz w:val="20"/>
                          <w:szCs w:val="20"/>
                        </w:rPr>
                        <w:t>R</w:t>
                      </w:r>
                      <w:r w:rsidRPr="00AB68A9">
                        <w:rPr>
                          <w:rFonts w:ascii="Times New Roman" w:hAnsi="Times New Roman" w:cs="Times New Roman"/>
                          <w:sz w:val="20"/>
                          <w:szCs w:val="20"/>
                        </w:rPr>
                        <w:t xml:space="preserve">adiation </w:t>
                      </w:r>
                      <w:r>
                        <w:rPr>
                          <w:rFonts w:ascii="Times New Roman" w:hAnsi="Times New Roman" w:cs="Times New Roman"/>
                          <w:sz w:val="20"/>
                          <w:szCs w:val="20"/>
                        </w:rPr>
                        <w:t>T</w:t>
                      </w:r>
                      <w:r w:rsidRPr="00AB68A9">
                        <w:rPr>
                          <w:rFonts w:ascii="Times New Roman" w:hAnsi="Times New Roman" w:cs="Times New Roman"/>
                          <w:sz w:val="20"/>
                          <w:szCs w:val="20"/>
                        </w:rPr>
                        <w:t>herapy</w:t>
                      </w:r>
                      <w:r>
                        <w:rPr>
                          <w:rFonts w:ascii="Times New Roman" w:hAnsi="Times New Roman" w:cs="Times New Roman"/>
                          <w:sz w:val="20"/>
                          <w:szCs w:val="20"/>
                        </w:rPr>
                        <w:t>; BE = Bland Embolization</w:t>
                      </w:r>
                      <w:r w:rsidR="009F3F93">
                        <w:rPr>
                          <w:rFonts w:ascii="Times New Roman" w:hAnsi="Times New Roman" w:cs="Times New Roman"/>
                          <w:sz w:val="20"/>
                          <w:szCs w:val="20"/>
                        </w:rPr>
                        <w:t xml:space="preserve">; ICI = </w:t>
                      </w:r>
                      <w:r w:rsidR="009F3F93" w:rsidRPr="00084802">
                        <w:rPr>
                          <w:rFonts w:ascii="Times New Roman" w:eastAsia="Times New Roman" w:hAnsi="Times New Roman" w:cs="Times New Roman"/>
                          <w:color w:val="000000"/>
                          <w:kern w:val="0"/>
                          <w:sz w:val="22"/>
                          <w:szCs w:val="22"/>
                          <w:lang w:val="en-US"/>
                          <w14:ligatures w14:val="none"/>
                        </w:rPr>
                        <w:t>Immune Checkpoint Inhibitor</w:t>
                      </w:r>
                      <w:r w:rsidR="00DD7EBA">
                        <w:rPr>
                          <w:rFonts w:ascii="Times New Roman" w:eastAsia="Times New Roman" w:hAnsi="Times New Roman" w:cs="Times New Roman"/>
                          <w:color w:val="000000"/>
                          <w:kern w:val="0"/>
                          <w:sz w:val="22"/>
                          <w:szCs w:val="22"/>
                          <w:lang w:val="en-US"/>
                          <w14:ligatures w14:val="none"/>
                        </w:rPr>
                        <w:t xml:space="preserve">, ICIs = </w:t>
                      </w:r>
                      <w:r w:rsidR="00DD7EBA" w:rsidRPr="00084802">
                        <w:rPr>
                          <w:rFonts w:ascii="Times New Roman" w:eastAsia="Times New Roman" w:hAnsi="Times New Roman" w:cs="Times New Roman"/>
                          <w:color w:val="000000"/>
                          <w:kern w:val="0"/>
                          <w:sz w:val="22"/>
                          <w:szCs w:val="22"/>
                          <w:lang w:val="en-US"/>
                          <w14:ligatures w14:val="none"/>
                        </w:rPr>
                        <w:t>Immune Checkpoint Inhibitor</w:t>
                      </w:r>
                      <w:r w:rsidR="00DD7EBA">
                        <w:rPr>
                          <w:rFonts w:ascii="Times New Roman" w:eastAsia="Times New Roman" w:hAnsi="Times New Roman" w:cs="Times New Roman"/>
                          <w:color w:val="000000"/>
                          <w:kern w:val="0"/>
                          <w:sz w:val="22"/>
                          <w:szCs w:val="22"/>
                          <w:lang w:val="en-US"/>
                          <w14:ligatures w14:val="none"/>
                        </w:rPr>
                        <w:t>s</w:t>
                      </w:r>
                    </w:p>
                    <w:p w14:paraId="76A38AB4" w14:textId="334F57DD" w:rsidR="0014443C" w:rsidRPr="00805613" w:rsidRDefault="009F3F93" w:rsidP="0014443C">
                      <w:pPr>
                        <w:rPr>
                          <w:rFonts w:ascii="Times New Roman" w:hAnsi="Times New Roman" w:cs="Times New Roman"/>
                          <w:sz w:val="20"/>
                          <w:szCs w:val="20"/>
                        </w:rPr>
                      </w:pPr>
                      <w:r>
                        <w:rPr>
                          <w:rFonts w:ascii="Times New Roman" w:hAnsi="Times New Roman" w:cs="Times New Roman"/>
                          <w:sz w:val="20"/>
                          <w:szCs w:val="20"/>
                        </w:rPr>
                        <w:t xml:space="preserve"> </w:t>
                      </w:r>
                      <w:r w:rsidR="0014443C" w:rsidRPr="00AB68A9">
                        <w:rPr>
                          <w:rFonts w:ascii="Times New Roman" w:hAnsi="Times New Roman" w:cs="Times New Roman"/>
                          <w:sz w:val="20"/>
                          <w:szCs w:val="20"/>
                        </w:rPr>
                        <w:t xml:space="preserve"> </w:t>
                      </w:r>
                    </w:p>
                  </w:txbxContent>
                </v:textbox>
              </v:shape>
            </w:pict>
          </mc:Fallback>
        </mc:AlternateContent>
      </w:r>
      <w:r w:rsidR="0039525C" w:rsidRPr="00084802">
        <w:rPr>
          <w:rFonts w:ascii="Times New Roman" w:hAnsi="Times New Roman" w:cs="Times New Roman"/>
          <w:noProof/>
          <w:sz w:val="22"/>
          <w:szCs w:val="22"/>
          <w:lang w:val="en-US"/>
        </w:rPr>
        <mc:AlternateContent>
          <mc:Choice Requires="wps">
            <w:drawing>
              <wp:anchor distT="0" distB="0" distL="114300" distR="114300" simplePos="0" relativeHeight="251659264" behindDoc="0" locked="0" layoutInCell="1" allowOverlap="1" wp14:anchorId="59A1907E" wp14:editId="16EA6195">
                <wp:simplePos x="0" y="0"/>
                <wp:positionH relativeFrom="column">
                  <wp:posOffset>-208280</wp:posOffset>
                </wp:positionH>
                <wp:positionV relativeFrom="paragraph">
                  <wp:posOffset>-842645</wp:posOffset>
                </wp:positionV>
                <wp:extent cx="5029200" cy="369570"/>
                <wp:effectExtent l="0" t="0" r="0" b="0"/>
                <wp:wrapNone/>
                <wp:docPr id="125225681" name="Text Box 2"/>
                <wp:cNvGraphicFramePr/>
                <a:graphic xmlns:a="http://schemas.openxmlformats.org/drawingml/2006/main">
                  <a:graphicData uri="http://schemas.microsoft.com/office/word/2010/wordprocessingShape">
                    <wps:wsp>
                      <wps:cNvSpPr txBox="1"/>
                      <wps:spPr>
                        <a:xfrm>
                          <a:off x="0" y="0"/>
                          <a:ext cx="5029200" cy="369570"/>
                        </a:xfrm>
                        <a:prstGeom prst="rect">
                          <a:avLst/>
                        </a:prstGeom>
                        <a:noFill/>
                        <a:ln w="6350">
                          <a:noFill/>
                        </a:ln>
                      </wps:spPr>
                      <wps:txbx>
                        <w:txbxContent>
                          <w:p w14:paraId="630B1944" w14:textId="77777777" w:rsidR="0014443C" w:rsidRPr="00B93713" w:rsidRDefault="0014443C" w:rsidP="0014443C">
                            <w:pPr>
                              <w:rPr>
                                <w:rFonts w:ascii="Times New Roman" w:hAnsi="Times New Roman" w:cs="Times New Roman"/>
                                <w:b/>
                                <w:bCs/>
                                <w:sz w:val="22"/>
                                <w:szCs w:val="22"/>
                                <w:lang w:val="en-US"/>
                              </w:rPr>
                            </w:pPr>
                            <w:r w:rsidRPr="00B93713">
                              <w:rPr>
                                <w:rFonts w:ascii="Times New Roman" w:hAnsi="Times New Roman" w:cs="Times New Roman"/>
                                <w:b/>
                                <w:bCs/>
                                <w:sz w:val="22"/>
                                <w:szCs w:val="22"/>
                                <w:lang w:val="en-US"/>
                              </w:rPr>
                              <w:t>Table 1 – Main characteristics of studies included in the review</w:t>
                            </w:r>
                          </w:p>
                          <w:p w14:paraId="3BD53D5D" w14:textId="77777777" w:rsidR="0014443C" w:rsidRPr="00B93713" w:rsidRDefault="0014443C" w:rsidP="0014443C">
                            <w:pPr>
                              <w:rPr>
                                <w:sz w:val="22"/>
                                <w:szCs w:val="2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A1907E" id="Text Box 2" o:spid="_x0000_s1030" type="#_x0000_t202" style="position:absolute;margin-left:-16.4pt;margin-top:-66.35pt;width:396pt;height:2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" filled="f" stroked="f" strokeweight=".5pt">
                <v:textbox>
                  <w:txbxContent>
                    <w:p w14:paraId="630B1944" w14:textId="77777777" w:rsidR="0014443C" w:rsidRPr="00B93713" w:rsidRDefault="0014443C" w:rsidP="0014443C">
                      <w:pPr>
                        <w:rPr>
                          <w:rFonts w:ascii="Times New Roman" w:hAnsi="Times New Roman" w:cs="Times New Roman"/>
                          <w:b/>
                          <w:bCs/>
                          <w:sz w:val="22"/>
                          <w:szCs w:val="22"/>
                          <w:lang w:val="en-US"/>
                        </w:rPr>
                      </w:pPr>
                      <w:r w:rsidRPr="00B93713">
                        <w:rPr>
                          <w:rFonts w:ascii="Times New Roman" w:hAnsi="Times New Roman" w:cs="Times New Roman"/>
                          <w:b/>
                          <w:bCs/>
                          <w:sz w:val="22"/>
                          <w:szCs w:val="22"/>
                          <w:lang w:val="en-US"/>
                        </w:rPr>
                        <w:t>Table 1 – Main characteristics of studies included in the review</w:t>
                      </w:r>
                    </w:p>
                    <w:p w14:paraId="3BD53D5D" w14:textId="77777777" w:rsidR="0014443C" w:rsidRPr="00B93713" w:rsidRDefault="0014443C" w:rsidP="0014443C">
                      <w:pPr>
                        <w:rPr>
                          <w:sz w:val="22"/>
                          <w:szCs w:val="22"/>
                          <w:lang w:val="en-US"/>
                        </w:rPr>
                      </w:pPr>
                    </w:p>
                  </w:txbxContent>
                </v:textbox>
              </v:shape>
            </w:pict>
          </mc:Fallback>
        </mc:AlternateContent>
      </w:r>
      <w:r w:rsidR="0039525C">
        <w:rPr>
          <w:rFonts w:ascii="Times New Roman" w:hAnsi="Times New Roman" w:cs="Times New Roman"/>
          <w:sz w:val="22"/>
          <w:szCs w:val="22"/>
          <w:lang w:val="en-US"/>
        </w:rPr>
        <w:br w:type="page"/>
      </w:r>
    </w:p>
    <w:p w14:paraId="301ACA88" w14:textId="6B1B03B4" w:rsidR="007A6633" w:rsidRPr="00084802" w:rsidRDefault="007A6633" w:rsidP="00164001">
      <w:pPr>
        <w:tabs>
          <w:tab w:val="left" w:pos="14832"/>
        </w:tabs>
        <w:rPr>
          <w:rFonts w:ascii="Times New Roman" w:hAnsi="Times New Roman" w:cs="Times New Roman"/>
          <w:sz w:val="22"/>
          <w:szCs w:val="22"/>
          <w:lang w:val="en-US"/>
        </w:rPr>
        <w:sectPr w:rsidR="007A6633" w:rsidRPr="00084802" w:rsidSect="00DD7EBA">
          <w:pgSz w:w="23820" w:h="16840" w:orient="landscape"/>
          <w:pgMar w:top="1440" w:right="1440" w:bottom="1440" w:left="1440" w:header="708" w:footer="708" w:gutter="0"/>
          <w:cols w:space="708"/>
          <w:docGrid w:linePitch="360"/>
        </w:sectPr>
      </w:pPr>
    </w:p>
    <w:p w14:paraId="127E1126" w14:textId="42EA3E63" w:rsidR="00164001" w:rsidRPr="00084802" w:rsidRDefault="00164001" w:rsidP="000B06AF">
      <w:pPr>
        <w:tabs>
          <w:tab w:val="left" w:pos="14832"/>
        </w:tabs>
        <w:rPr>
          <w:rFonts w:ascii="Times New Roman" w:hAnsi="Times New Roman" w:cs="Times New Roman"/>
          <w:sz w:val="22"/>
          <w:szCs w:val="22"/>
          <w:lang w:val="en-US"/>
        </w:rPr>
      </w:pPr>
    </w:p>
    <w:sectPr w:rsidR="00164001" w:rsidRPr="00084802" w:rsidSect="007A6633">
      <w:pgSz w:w="2016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7AB091" w14:textId="77777777" w:rsidR="00B05DC1" w:rsidRDefault="00B05DC1" w:rsidP="0014443C">
      <w:r>
        <w:separator/>
      </w:r>
    </w:p>
  </w:endnote>
  <w:endnote w:type="continuationSeparator" w:id="0">
    <w:p w14:paraId="44BF693F" w14:textId="77777777" w:rsidR="00B05DC1" w:rsidRDefault="00B05DC1" w:rsidP="00144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81EDF5" w14:textId="77777777" w:rsidR="00B05DC1" w:rsidRDefault="00B05DC1" w:rsidP="0014443C">
      <w:r>
        <w:separator/>
      </w:r>
    </w:p>
  </w:footnote>
  <w:footnote w:type="continuationSeparator" w:id="0">
    <w:p w14:paraId="78151176" w14:textId="77777777" w:rsidR="00B05DC1" w:rsidRDefault="00B05DC1" w:rsidP="001444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F76C28"/>
    <w:multiLevelType w:val="multilevel"/>
    <w:tmpl w:val="0DB066E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271A4E34"/>
    <w:multiLevelType w:val="multilevel"/>
    <w:tmpl w:val="D3143C50"/>
    <w:lvl w:ilvl="0">
      <w:start w:val="1"/>
      <w:numFmt w:val="decimal"/>
      <w:lvlText w:val="%1."/>
      <w:lvlJc w:val="left"/>
      <w:pPr>
        <w:ind w:left="720" w:hanging="360"/>
      </w:pPr>
      <w:rPr>
        <w:rFonts w:hint="default"/>
      </w:r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972518144">
    <w:abstractNumId w:val="0"/>
  </w:num>
  <w:num w:numId="2" w16cid:durableId="2724459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CC8"/>
    <w:rsid w:val="000010AD"/>
    <w:rsid w:val="00002E44"/>
    <w:rsid w:val="00006CA4"/>
    <w:rsid w:val="0003656C"/>
    <w:rsid w:val="00041532"/>
    <w:rsid w:val="000504D4"/>
    <w:rsid w:val="00053EBA"/>
    <w:rsid w:val="00054241"/>
    <w:rsid w:val="000732EA"/>
    <w:rsid w:val="00084802"/>
    <w:rsid w:val="000858F5"/>
    <w:rsid w:val="000A1994"/>
    <w:rsid w:val="000A1EE8"/>
    <w:rsid w:val="000A2597"/>
    <w:rsid w:val="000B06AF"/>
    <w:rsid w:val="000B10D8"/>
    <w:rsid w:val="000B4B22"/>
    <w:rsid w:val="000B52D8"/>
    <w:rsid w:val="000C5777"/>
    <w:rsid w:val="000C691B"/>
    <w:rsid w:val="000D4BDB"/>
    <w:rsid w:val="000E0694"/>
    <w:rsid w:val="000F1445"/>
    <w:rsid w:val="00101FB2"/>
    <w:rsid w:val="0010429B"/>
    <w:rsid w:val="00105B5B"/>
    <w:rsid w:val="00107E6E"/>
    <w:rsid w:val="001311AE"/>
    <w:rsid w:val="0014443C"/>
    <w:rsid w:val="001544B5"/>
    <w:rsid w:val="00164001"/>
    <w:rsid w:val="0016586A"/>
    <w:rsid w:val="00181DF1"/>
    <w:rsid w:val="001908A9"/>
    <w:rsid w:val="00195121"/>
    <w:rsid w:val="001B0844"/>
    <w:rsid w:val="001B6B40"/>
    <w:rsid w:val="001C18DE"/>
    <w:rsid w:val="001E39B3"/>
    <w:rsid w:val="001F6453"/>
    <w:rsid w:val="00201DD0"/>
    <w:rsid w:val="002053A3"/>
    <w:rsid w:val="00224DB5"/>
    <w:rsid w:val="002253C0"/>
    <w:rsid w:val="00243A16"/>
    <w:rsid w:val="0025701D"/>
    <w:rsid w:val="002650FA"/>
    <w:rsid w:val="00267997"/>
    <w:rsid w:val="00275467"/>
    <w:rsid w:val="00276879"/>
    <w:rsid w:val="00281B62"/>
    <w:rsid w:val="00290611"/>
    <w:rsid w:val="0029713F"/>
    <w:rsid w:val="002C5DFE"/>
    <w:rsid w:val="002E4AC1"/>
    <w:rsid w:val="002E529D"/>
    <w:rsid w:val="00343D2C"/>
    <w:rsid w:val="003640BA"/>
    <w:rsid w:val="00365C59"/>
    <w:rsid w:val="00380A76"/>
    <w:rsid w:val="00381983"/>
    <w:rsid w:val="0039525C"/>
    <w:rsid w:val="003B2452"/>
    <w:rsid w:val="003C3837"/>
    <w:rsid w:val="003D33A9"/>
    <w:rsid w:val="003E7A40"/>
    <w:rsid w:val="004146A2"/>
    <w:rsid w:val="00423291"/>
    <w:rsid w:val="004343DD"/>
    <w:rsid w:val="00434A81"/>
    <w:rsid w:val="00440F9E"/>
    <w:rsid w:val="00450514"/>
    <w:rsid w:val="004532A6"/>
    <w:rsid w:val="0045703A"/>
    <w:rsid w:val="00473778"/>
    <w:rsid w:val="00475EB1"/>
    <w:rsid w:val="00482752"/>
    <w:rsid w:val="0049062D"/>
    <w:rsid w:val="0049533E"/>
    <w:rsid w:val="004A4BB4"/>
    <w:rsid w:val="004B67A9"/>
    <w:rsid w:val="004C2B5C"/>
    <w:rsid w:val="004C4049"/>
    <w:rsid w:val="004D0F3C"/>
    <w:rsid w:val="004D5AE4"/>
    <w:rsid w:val="004F303D"/>
    <w:rsid w:val="00503975"/>
    <w:rsid w:val="00510E70"/>
    <w:rsid w:val="00515E99"/>
    <w:rsid w:val="0052108E"/>
    <w:rsid w:val="00543B68"/>
    <w:rsid w:val="00546969"/>
    <w:rsid w:val="005524E8"/>
    <w:rsid w:val="00566934"/>
    <w:rsid w:val="0056711C"/>
    <w:rsid w:val="00572823"/>
    <w:rsid w:val="00572E15"/>
    <w:rsid w:val="0057447D"/>
    <w:rsid w:val="005A0195"/>
    <w:rsid w:val="005A1687"/>
    <w:rsid w:val="005E0CF1"/>
    <w:rsid w:val="005E3B48"/>
    <w:rsid w:val="005E4A83"/>
    <w:rsid w:val="005F1E68"/>
    <w:rsid w:val="005F2935"/>
    <w:rsid w:val="005F4512"/>
    <w:rsid w:val="005F5D5C"/>
    <w:rsid w:val="00601C21"/>
    <w:rsid w:val="006059A3"/>
    <w:rsid w:val="00617A66"/>
    <w:rsid w:val="00631A9D"/>
    <w:rsid w:val="00633A02"/>
    <w:rsid w:val="00633B00"/>
    <w:rsid w:val="00634190"/>
    <w:rsid w:val="00657542"/>
    <w:rsid w:val="00664978"/>
    <w:rsid w:val="00675FDE"/>
    <w:rsid w:val="00686AD7"/>
    <w:rsid w:val="006A50C9"/>
    <w:rsid w:val="006A580D"/>
    <w:rsid w:val="006B0ADA"/>
    <w:rsid w:val="006B6886"/>
    <w:rsid w:val="006B7DD4"/>
    <w:rsid w:val="006C7D25"/>
    <w:rsid w:val="00703532"/>
    <w:rsid w:val="00711EA8"/>
    <w:rsid w:val="007230EF"/>
    <w:rsid w:val="0073129F"/>
    <w:rsid w:val="00741B95"/>
    <w:rsid w:val="007508C7"/>
    <w:rsid w:val="007700F8"/>
    <w:rsid w:val="00776D9A"/>
    <w:rsid w:val="00782BFC"/>
    <w:rsid w:val="00782ED2"/>
    <w:rsid w:val="007A6633"/>
    <w:rsid w:val="007D0261"/>
    <w:rsid w:val="007E4707"/>
    <w:rsid w:val="007E7864"/>
    <w:rsid w:val="007F556B"/>
    <w:rsid w:val="00831ABE"/>
    <w:rsid w:val="00835153"/>
    <w:rsid w:val="008473AC"/>
    <w:rsid w:val="00865F45"/>
    <w:rsid w:val="00875FA8"/>
    <w:rsid w:val="00883DA6"/>
    <w:rsid w:val="00890B7D"/>
    <w:rsid w:val="00892EF9"/>
    <w:rsid w:val="0089797D"/>
    <w:rsid w:val="008C07A4"/>
    <w:rsid w:val="008C2D06"/>
    <w:rsid w:val="008F5CB2"/>
    <w:rsid w:val="0092033B"/>
    <w:rsid w:val="0093223D"/>
    <w:rsid w:val="009437AE"/>
    <w:rsid w:val="009455F0"/>
    <w:rsid w:val="00961D79"/>
    <w:rsid w:val="009639E9"/>
    <w:rsid w:val="0096677B"/>
    <w:rsid w:val="00973AB1"/>
    <w:rsid w:val="00984CD9"/>
    <w:rsid w:val="009B1A6F"/>
    <w:rsid w:val="009B627E"/>
    <w:rsid w:val="009C2E0F"/>
    <w:rsid w:val="009E3C00"/>
    <w:rsid w:val="009E519A"/>
    <w:rsid w:val="009F3F93"/>
    <w:rsid w:val="00A04AC2"/>
    <w:rsid w:val="00A04D89"/>
    <w:rsid w:val="00A110DC"/>
    <w:rsid w:val="00A1185E"/>
    <w:rsid w:val="00A22A4E"/>
    <w:rsid w:val="00A31677"/>
    <w:rsid w:val="00A36181"/>
    <w:rsid w:val="00A44FE2"/>
    <w:rsid w:val="00A503F7"/>
    <w:rsid w:val="00A5294F"/>
    <w:rsid w:val="00A56638"/>
    <w:rsid w:val="00A6448C"/>
    <w:rsid w:val="00A820DC"/>
    <w:rsid w:val="00A82D37"/>
    <w:rsid w:val="00A87F7B"/>
    <w:rsid w:val="00AC6CF9"/>
    <w:rsid w:val="00AD1830"/>
    <w:rsid w:val="00AD2F9B"/>
    <w:rsid w:val="00AD3072"/>
    <w:rsid w:val="00AD4507"/>
    <w:rsid w:val="00AE36DB"/>
    <w:rsid w:val="00AE4643"/>
    <w:rsid w:val="00AF1AD6"/>
    <w:rsid w:val="00AF78DB"/>
    <w:rsid w:val="00B05DC1"/>
    <w:rsid w:val="00B26DD5"/>
    <w:rsid w:val="00B46C0A"/>
    <w:rsid w:val="00B515D9"/>
    <w:rsid w:val="00B52DCD"/>
    <w:rsid w:val="00B86C78"/>
    <w:rsid w:val="00B93478"/>
    <w:rsid w:val="00B93713"/>
    <w:rsid w:val="00B94621"/>
    <w:rsid w:val="00BA195C"/>
    <w:rsid w:val="00BB17B8"/>
    <w:rsid w:val="00BB4426"/>
    <w:rsid w:val="00BC120A"/>
    <w:rsid w:val="00BC3EEA"/>
    <w:rsid w:val="00BC625C"/>
    <w:rsid w:val="00BD6061"/>
    <w:rsid w:val="00BF48DF"/>
    <w:rsid w:val="00C00F49"/>
    <w:rsid w:val="00C0294B"/>
    <w:rsid w:val="00C06DD3"/>
    <w:rsid w:val="00C27773"/>
    <w:rsid w:val="00C31400"/>
    <w:rsid w:val="00C422D6"/>
    <w:rsid w:val="00C45AC4"/>
    <w:rsid w:val="00C45CC8"/>
    <w:rsid w:val="00C52744"/>
    <w:rsid w:val="00C77FFC"/>
    <w:rsid w:val="00C93AA6"/>
    <w:rsid w:val="00C94104"/>
    <w:rsid w:val="00CA381F"/>
    <w:rsid w:val="00CB2D3B"/>
    <w:rsid w:val="00CC1148"/>
    <w:rsid w:val="00CC64CA"/>
    <w:rsid w:val="00CD26D6"/>
    <w:rsid w:val="00CE1D8A"/>
    <w:rsid w:val="00CE75AB"/>
    <w:rsid w:val="00CF1ACA"/>
    <w:rsid w:val="00CF71FC"/>
    <w:rsid w:val="00D124BA"/>
    <w:rsid w:val="00D24614"/>
    <w:rsid w:val="00D265B5"/>
    <w:rsid w:val="00D31127"/>
    <w:rsid w:val="00D45EC8"/>
    <w:rsid w:val="00D533BE"/>
    <w:rsid w:val="00D602D1"/>
    <w:rsid w:val="00D6296B"/>
    <w:rsid w:val="00D673BE"/>
    <w:rsid w:val="00D72A16"/>
    <w:rsid w:val="00D84B66"/>
    <w:rsid w:val="00D93AA7"/>
    <w:rsid w:val="00DA37AC"/>
    <w:rsid w:val="00DA5383"/>
    <w:rsid w:val="00DA6D4F"/>
    <w:rsid w:val="00DB330E"/>
    <w:rsid w:val="00DD7EBA"/>
    <w:rsid w:val="00DE46FD"/>
    <w:rsid w:val="00DE6BBD"/>
    <w:rsid w:val="00DF02FD"/>
    <w:rsid w:val="00E124AC"/>
    <w:rsid w:val="00E224EC"/>
    <w:rsid w:val="00E316E2"/>
    <w:rsid w:val="00E47962"/>
    <w:rsid w:val="00E51C50"/>
    <w:rsid w:val="00E53C29"/>
    <w:rsid w:val="00E73EC3"/>
    <w:rsid w:val="00E82894"/>
    <w:rsid w:val="00E87F3B"/>
    <w:rsid w:val="00E90D9C"/>
    <w:rsid w:val="00E952E7"/>
    <w:rsid w:val="00EA5EDF"/>
    <w:rsid w:val="00EA6ED8"/>
    <w:rsid w:val="00EB190F"/>
    <w:rsid w:val="00EB7A0D"/>
    <w:rsid w:val="00ED43BD"/>
    <w:rsid w:val="00EF162C"/>
    <w:rsid w:val="00EF44D3"/>
    <w:rsid w:val="00EF487D"/>
    <w:rsid w:val="00EF6490"/>
    <w:rsid w:val="00F105C4"/>
    <w:rsid w:val="00F347AE"/>
    <w:rsid w:val="00F3619D"/>
    <w:rsid w:val="00F447AD"/>
    <w:rsid w:val="00F67A6F"/>
    <w:rsid w:val="00F8019E"/>
    <w:rsid w:val="00F803D0"/>
    <w:rsid w:val="00FA0A29"/>
    <w:rsid w:val="00FA0EC8"/>
    <w:rsid w:val="00FA38CD"/>
    <w:rsid w:val="00FD21FB"/>
    <w:rsid w:val="00FD711D"/>
    <w:rsid w:val="00FE3BF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642D3"/>
  <w15:chartTrackingRefBased/>
  <w15:docId w15:val="{93737D0A-2921-434F-9BB4-0B09035A7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A4E"/>
  </w:style>
  <w:style w:type="paragraph" w:styleId="Heading1">
    <w:name w:val="heading 1"/>
    <w:basedOn w:val="Normal"/>
    <w:next w:val="Normal"/>
    <w:link w:val="Heading1Char"/>
    <w:uiPriority w:val="9"/>
    <w:qFormat/>
    <w:rsid w:val="00C45C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5C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45C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5C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5C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5CC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CC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CC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CC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C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C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45C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5C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C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C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C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C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CC8"/>
    <w:rPr>
      <w:rFonts w:eastAsiaTheme="majorEastAsia" w:cstheme="majorBidi"/>
      <w:color w:val="272727" w:themeColor="text1" w:themeTint="D8"/>
    </w:rPr>
  </w:style>
  <w:style w:type="paragraph" w:styleId="Title">
    <w:name w:val="Title"/>
    <w:basedOn w:val="Normal"/>
    <w:next w:val="Normal"/>
    <w:link w:val="TitleChar"/>
    <w:uiPriority w:val="10"/>
    <w:qFormat/>
    <w:rsid w:val="00C45CC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C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CC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C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CC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45CC8"/>
    <w:rPr>
      <w:i/>
      <w:iCs/>
      <w:color w:val="404040" w:themeColor="text1" w:themeTint="BF"/>
    </w:rPr>
  </w:style>
  <w:style w:type="paragraph" w:styleId="ListParagraph">
    <w:name w:val="List Paragraph"/>
    <w:basedOn w:val="Normal"/>
    <w:uiPriority w:val="34"/>
    <w:qFormat/>
    <w:rsid w:val="00C45CC8"/>
    <w:pPr>
      <w:ind w:left="720"/>
      <w:contextualSpacing/>
    </w:pPr>
  </w:style>
  <w:style w:type="character" w:styleId="IntenseEmphasis">
    <w:name w:val="Intense Emphasis"/>
    <w:basedOn w:val="DefaultParagraphFont"/>
    <w:uiPriority w:val="21"/>
    <w:qFormat/>
    <w:rsid w:val="00C45CC8"/>
    <w:rPr>
      <w:i/>
      <w:iCs/>
      <w:color w:val="0F4761" w:themeColor="accent1" w:themeShade="BF"/>
    </w:rPr>
  </w:style>
  <w:style w:type="paragraph" w:styleId="IntenseQuote">
    <w:name w:val="Intense Quote"/>
    <w:basedOn w:val="Normal"/>
    <w:next w:val="Normal"/>
    <w:link w:val="IntenseQuoteChar"/>
    <w:uiPriority w:val="30"/>
    <w:qFormat/>
    <w:rsid w:val="00C45C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5CC8"/>
    <w:rPr>
      <w:i/>
      <w:iCs/>
      <w:color w:val="0F4761" w:themeColor="accent1" w:themeShade="BF"/>
    </w:rPr>
  </w:style>
  <w:style w:type="character" w:styleId="IntenseReference">
    <w:name w:val="Intense Reference"/>
    <w:basedOn w:val="DefaultParagraphFont"/>
    <w:uiPriority w:val="32"/>
    <w:qFormat/>
    <w:rsid w:val="00C45CC8"/>
    <w:rPr>
      <w:b/>
      <w:bCs/>
      <w:smallCaps/>
      <w:color w:val="0F4761" w:themeColor="accent1" w:themeShade="BF"/>
      <w:spacing w:val="5"/>
    </w:rPr>
  </w:style>
  <w:style w:type="paragraph" w:styleId="NormalWeb">
    <w:name w:val="Normal (Web)"/>
    <w:basedOn w:val="Normal"/>
    <w:uiPriority w:val="99"/>
    <w:unhideWhenUsed/>
    <w:rsid w:val="00DE46FD"/>
    <w:pPr>
      <w:spacing w:before="100" w:beforeAutospacing="1" w:after="100" w:afterAutospacing="1"/>
    </w:pPr>
    <w:rPr>
      <w:rFonts w:ascii="Times New Roman" w:eastAsia="Times New Roman" w:hAnsi="Times New Roman" w:cs="Times New Roman"/>
      <w:kern w:val="0"/>
      <w14:ligatures w14:val="none"/>
    </w:rPr>
  </w:style>
  <w:style w:type="paragraph" w:styleId="Bibliography">
    <w:name w:val="Bibliography"/>
    <w:basedOn w:val="Normal"/>
    <w:next w:val="Normal"/>
    <w:uiPriority w:val="37"/>
    <w:unhideWhenUsed/>
    <w:rsid w:val="00A44FE2"/>
    <w:pPr>
      <w:tabs>
        <w:tab w:val="left" w:pos="380"/>
      </w:tabs>
      <w:ind w:left="384" w:hanging="384"/>
    </w:pPr>
  </w:style>
  <w:style w:type="table" w:styleId="TableGrid">
    <w:name w:val="Table Grid"/>
    <w:basedOn w:val="TableNormal"/>
    <w:uiPriority w:val="39"/>
    <w:rsid w:val="0014443C"/>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4443C"/>
    <w:pPr>
      <w:tabs>
        <w:tab w:val="center" w:pos="4680"/>
        <w:tab w:val="right" w:pos="9360"/>
      </w:tabs>
    </w:pPr>
  </w:style>
  <w:style w:type="character" w:customStyle="1" w:styleId="HeaderChar">
    <w:name w:val="Header Char"/>
    <w:basedOn w:val="DefaultParagraphFont"/>
    <w:link w:val="Header"/>
    <w:uiPriority w:val="99"/>
    <w:rsid w:val="0014443C"/>
  </w:style>
  <w:style w:type="paragraph" w:styleId="Footer">
    <w:name w:val="footer"/>
    <w:basedOn w:val="Normal"/>
    <w:link w:val="FooterChar"/>
    <w:uiPriority w:val="99"/>
    <w:unhideWhenUsed/>
    <w:rsid w:val="0014443C"/>
    <w:pPr>
      <w:tabs>
        <w:tab w:val="center" w:pos="4680"/>
        <w:tab w:val="right" w:pos="9360"/>
      </w:tabs>
    </w:pPr>
  </w:style>
  <w:style w:type="character" w:customStyle="1" w:styleId="FooterChar">
    <w:name w:val="Footer Char"/>
    <w:basedOn w:val="DefaultParagraphFont"/>
    <w:link w:val="Footer"/>
    <w:uiPriority w:val="99"/>
    <w:rsid w:val="0014443C"/>
  </w:style>
  <w:style w:type="character" w:styleId="Hyperlink">
    <w:name w:val="Hyperlink"/>
    <w:basedOn w:val="DefaultParagraphFont"/>
    <w:uiPriority w:val="99"/>
    <w:unhideWhenUsed/>
    <w:rsid w:val="002E4AC1"/>
    <w:rPr>
      <w:color w:val="467886" w:themeColor="hyperlink"/>
      <w:u w:val="single"/>
    </w:rPr>
  </w:style>
  <w:style w:type="character" w:styleId="UnresolvedMention">
    <w:name w:val="Unresolved Mention"/>
    <w:basedOn w:val="DefaultParagraphFont"/>
    <w:uiPriority w:val="99"/>
    <w:semiHidden/>
    <w:unhideWhenUsed/>
    <w:rsid w:val="002E4AC1"/>
    <w:rPr>
      <w:color w:val="605E5C"/>
      <w:shd w:val="clear" w:color="auto" w:fill="E1DFDD"/>
    </w:rPr>
  </w:style>
  <w:style w:type="table" w:styleId="PlainTable1">
    <w:name w:val="Plain Table 1"/>
    <w:basedOn w:val="TableNormal"/>
    <w:uiPriority w:val="41"/>
    <w:rsid w:val="00CE75A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CE75A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CE75A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CE75A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905050">
      <w:bodyDiv w:val="1"/>
      <w:marLeft w:val="0"/>
      <w:marRight w:val="0"/>
      <w:marTop w:val="0"/>
      <w:marBottom w:val="0"/>
      <w:divBdr>
        <w:top w:val="none" w:sz="0" w:space="0" w:color="auto"/>
        <w:left w:val="none" w:sz="0" w:space="0" w:color="auto"/>
        <w:bottom w:val="none" w:sz="0" w:space="0" w:color="auto"/>
        <w:right w:val="none" w:sz="0" w:space="0" w:color="auto"/>
      </w:divBdr>
    </w:div>
    <w:div w:id="145323226">
      <w:bodyDiv w:val="1"/>
      <w:marLeft w:val="0"/>
      <w:marRight w:val="0"/>
      <w:marTop w:val="0"/>
      <w:marBottom w:val="0"/>
      <w:divBdr>
        <w:top w:val="none" w:sz="0" w:space="0" w:color="auto"/>
        <w:left w:val="none" w:sz="0" w:space="0" w:color="auto"/>
        <w:bottom w:val="none" w:sz="0" w:space="0" w:color="auto"/>
        <w:right w:val="none" w:sz="0" w:space="0" w:color="auto"/>
      </w:divBdr>
    </w:div>
    <w:div w:id="265120206">
      <w:bodyDiv w:val="1"/>
      <w:marLeft w:val="0"/>
      <w:marRight w:val="0"/>
      <w:marTop w:val="0"/>
      <w:marBottom w:val="0"/>
      <w:divBdr>
        <w:top w:val="none" w:sz="0" w:space="0" w:color="auto"/>
        <w:left w:val="none" w:sz="0" w:space="0" w:color="auto"/>
        <w:bottom w:val="none" w:sz="0" w:space="0" w:color="auto"/>
        <w:right w:val="none" w:sz="0" w:space="0" w:color="auto"/>
      </w:divBdr>
    </w:div>
    <w:div w:id="550727773">
      <w:bodyDiv w:val="1"/>
      <w:marLeft w:val="0"/>
      <w:marRight w:val="0"/>
      <w:marTop w:val="0"/>
      <w:marBottom w:val="0"/>
      <w:divBdr>
        <w:top w:val="none" w:sz="0" w:space="0" w:color="auto"/>
        <w:left w:val="none" w:sz="0" w:space="0" w:color="auto"/>
        <w:bottom w:val="none" w:sz="0" w:space="0" w:color="auto"/>
        <w:right w:val="none" w:sz="0" w:space="0" w:color="auto"/>
      </w:divBdr>
      <w:divsChild>
        <w:div w:id="1004094186">
          <w:marLeft w:val="0"/>
          <w:marRight w:val="0"/>
          <w:marTop w:val="0"/>
          <w:marBottom w:val="0"/>
          <w:divBdr>
            <w:top w:val="none" w:sz="0" w:space="0" w:color="auto"/>
            <w:left w:val="none" w:sz="0" w:space="0" w:color="auto"/>
            <w:bottom w:val="none" w:sz="0" w:space="0" w:color="auto"/>
            <w:right w:val="none" w:sz="0" w:space="0" w:color="auto"/>
          </w:divBdr>
          <w:divsChild>
            <w:div w:id="778793570">
              <w:marLeft w:val="0"/>
              <w:marRight w:val="0"/>
              <w:marTop w:val="0"/>
              <w:marBottom w:val="0"/>
              <w:divBdr>
                <w:top w:val="none" w:sz="0" w:space="0" w:color="auto"/>
                <w:left w:val="none" w:sz="0" w:space="0" w:color="auto"/>
                <w:bottom w:val="none" w:sz="0" w:space="0" w:color="auto"/>
                <w:right w:val="none" w:sz="0" w:space="0" w:color="auto"/>
              </w:divBdr>
              <w:divsChild>
                <w:div w:id="857037381">
                  <w:marLeft w:val="0"/>
                  <w:marRight w:val="0"/>
                  <w:marTop w:val="0"/>
                  <w:marBottom w:val="0"/>
                  <w:divBdr>
                    <w:top w:val="none" w:sz="0" w:space="0" w:color="auto"/>
                    <w:left w:val="none" w:sz="0" w:space="0" w:color="auto"/>
                    <w:bottom w:val="none" w:sz="0" w:space="0" w:color="auto"/>
                    <w:right w:val="none" w:sz="0" w:space="0" w:color="auto"/>
                  </w:divBdr>
                  <w:divsChild>
                    <w:div w:id="194074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435323">
      <w:bodyDiv w:val="1"/>
      <w:marLeft w:val="0"/>
      <w:marRight w:val="0"/>
      <w:marTop w:val="0"/>
      <w:marBottom w:val="0"/>
      <w:divBdr>
        <w:top w:val="none" w:sz="0" w:space="0" w:color="auto"/>
        <w:left w:val="none" w:sz="0" w:space="0" w:color="auto"/>
        <w:bottom w:val="none" w:sz="0" w:space="0" w:color="auto"/>
        <w:right w:val="none" w:sz="0" w:space="0" w:color="auto"/>
      </w:divBdr>
    </w:div>
    <w:div w:id="626205736">
      <w:bodyDiv w:val="1"/>
      <w:marLeft w:val="0"/>
      <w:marRight w:val="0"/>
      <w:marTop w:val="0"/>
      <w:marBottom w:val="0"/>
      <w:divBdr>
        <w:top w:val="none" w:sz="0" w:space="0" w:color="auto"/>
        <w:left w:val="none" w:sz="0" w:space="0" w:color="auto"/>
        <w:bottom w:val="none" w:sz="0" w:space="0" w:color="auto"/>
        <w:right w:val="none" w:sz="0" w:space="0" w:color="auto"/>
      </w:divBdr>
      <w:divsChild>
        <w:div w:id="31349594">
          <w:marLeft w:val="0"/>
          <w:marRight w:val="0"/>
          <w:marTop w:val="0"/>
          <w:marBottom w:val="0"/>
          <w:divBdr>
            <w:top w:val="none" w:sz="0" w:space="0" w:color="auto"/>
            <w:left w:val="none" w:sz="0" w:space="0" w:color="auto"/>
            <w:bottom w:val="none" w:sz="0" w:space="0" w:color="auto"/>
            <w:right w:val="none" w:sz="0" w:space="0" w:color="auto"/>
          </w:divBdr>
          <w:divsChild>
            <w:div w:id="564024619">
              <w:marLeft w:val="0"/>
              <w:marRight w:val="0"/>
              <w:marTop w:val="0"/>
              <w:marBottom w:val="0"/>
              <w:divBdr>
                <w:top w:val="none" w:sz="0" w:space="0" w:color="auto"/>
                <w:left w:val="none" w:sz="0" w:space="0" w:color="auto"/>
                <w:bottom w:val="none" w:sz="0" w:space="0" w:color="auto"/>
                <w:right w:val="none" w:sz="0" w:space="0" w:color="auto"/>
              </w:divBdr>
              <w:divsChild>
                <w:div w:id="12060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669157">
      <w:bodyDiv w:val="1"/>
      <w:marLeft w:val="0"/>
      <w:marRight w:val="0"/>
      <w:marTop w:val="0"/>
      <w:marBottom w:val="0"/>
      <w:divBdr>
        <w:top w:val="none" w:sz="0" w:space="0" w:color="auto"/>
        <w:left w:val="none" w:sz="0" w:space="0" w:color="auto"/>
        <w:bottom w:val="none" w:sz="0" w:space="0" w:color="auto"/>
        <w:right w:val="none" w:sz="0" w:space="0" w:color="auto"/>
      </w:divBdr>
      <w:divsChild>
        <w:div w:id="1400518187">
          <w:marLeft w:val="0"/>
          <w:marRight w:val="0"/>
          <w:marTop w:val="0"/>
          <w:marBottom w:val="0"/>
          <w:divBdr>
            <w:top w:val="none" w:sz="0" w:space="0" w:color="auto"/>
            <w:left w:val="none" w:sz="0" w:space="0" w:color="auto"/>
            <w:bottom w:val="none" w:sz="0" w:space="0" w:color="auto"/>
            <w:right w:val="none" w:sz="0" w:space="0" w:color="auto"/>
          </w:divBdr>
          <w:divsChild>
            <w:div w:id="1766609040">
              <w:marLeft w:val="0"/>
              <w:marRight w:val="0"/>
              <w:marTop w:val="0"/>
              <w:marBottom w:val="0"/>
              <w:divBdr>
                <w:top w:val="none" w:sz="0" w:space="0" w:color="auto"/>
                <w:left w:val="none" w:sz="0" w:space="0" w:color="auto"/>
                <w:bottom w:val="none" w:sz="0" w:space="0" w:color="auto"/>
                <w:right w:val="none" w:sz="0" w:space="0" w:color="auto"/>
              </w:divBdr>
              <w:divsChild>
                <w:div w:id="198773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237839">
      <w:bodyDiv w:val="1"/>
      <w:marLeft w:val="0"/>
      <w:marRight w:val="0"/>
      <w:marTop w:val="0"/>
      <w:marBottom w:val="0"/>
      <w:divBdr>
        <w:top w:val="none" w:sz="0" w:space="0" w:color="auto"/>
        <w:left w:val="none" w:sz="0" w:space="0" w:color="auto"/>
        <w:bottom w:val="none" w:sz="0" w:space="0" w:color="auto"/>
        <w:right w:val="none" w:sz="0" w:space="0" w:color="auto"/>
      </w:divBdr>
    </w:div>
    <w:div w:id="815877597">
      <w:bodyDiv w:val="1"/>
      <w:marLeft w:val="0"/>
      <w:marRight w:val="0"/>
      <w:marTop w:val="0"/>
      <w:marBottom w:val="0"/>
      <w:divBdr>
        <w:top w:val="none" w:sz="0" w:space="0" w:color="auto"/>
        <w:left w:val="none" w:sz="0" w:space="0" w:color="auto"/>
        <w:bottom w:val="none" w:sz="0" w:space="0" w:color="auto"/>
        <w:right w:val="none" w:sz="0" w:space="0" w:color="auto"/>
      </w:divBdr>
    </w:div>
    <w:div w:id="904410981">
      <w:bodyDiv w:val="1"/>
      <w:marLeft w:val="0"/>
      <w:marRight w:val="0"/>
      <w:marTop w:val="0"/>
      <w:marBottom w:val="0"/>
      <w:divBdr>
        <w:top w:val="none" w:sz="0" w:space="0" w:color="auto"/>
        <w:left w:val="none" w:sz="0" w:space="0" w:color="auto"/>
        <w:bottom w:val="none" w:sz="0" w:space="0" w:color="auto"/>
        <w:right w:val="none" w:sz="0" w:space="0" w:color="auto"/>
      </w:divBdr>
    </w:div>
    <w:div w:id="968824687">
      <w:bodyDiv w:val="1"/>
      <w:marLeft w:val="0"/>
      <w:marRight w:val="0"/>
      <w:marTop w:val="0"/>
      <w:marBottom w:val="0"/>
      <w:divBdr>
        <w:top w:val="none" w:sz="0" w:space="0" w:color="auto"/>
        <w:left w:val="none" w:sz="0" w:space="0" w:color="auto"/>
        <w:bottom w:val="none" w:sz="0" w:space="0" w:color="auto"/>
        <w:right w:val="none" w:sz="0" w:space="0" w:color="auto"/>
      </w:divBdr>
      <w:divsChild>
        <w:div w:id="243808248">
          <w:marLeft w:val="0"/>
          <w:marRight w:val="0"/>
          <w:marTop w:val="0"/>
          <w:marBottom w:val="0"/>
          <w:divBdr>
            <w:top w:val="none" w:sz="0" w:space="0" w:color="auto"/>
            <w:left w:val="none" w:sz="0" w:space="0" w:color="auto"/>
            <w:bottom w:val="none" w:sz="0" w:space="0" w:color="auto"/>
            <w:right w:val="none" w:sz="0" w:space="0" w:color="auto"/>
          </w:divBdr>
          <w:divsChild>
            <w:div w:id="309092399">
              <w:marLeft w:val="0"/>
              <w:marRight w:val="0"/>
              <w:marTop w:val="0"/>
              <w:marBottom w:val="0"/>
              <w:divBdr>
                <w:top w:val="none" w:sz="0" w:space="0" w:color="auto"/>
                <w:left w:val="none" w:sz="0" w:space="0" w:color="auto"/>
                <w:bottom w:val="none" w:sz="0" w:space="0" w:color="auto"/>
                <w:right w:val="none" w:sz="0" w:space="0" w:color="auto"/>
              </w:divBdr>
              <w:divsChild>
                <w:div w:id="54961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202092">
      <w:bodyDiv w:val="1"/>
      <w:marLeft w:val="0"/>
      <w:marRight w:val="0"/>
      <w:marTop w:val="0"/>
      <w:marBottom w:val="0"/>
      <w:divBdr>
        <w:top w:val="none" w:sz="0" w:space="0" w:color="auto"/>
        <w:left w:val="none" w:sz="0" w:space="0" w:color="auto"/>
        <w:bottom w:val="none" w:sz="0" w:space="0" w:color="auto"/>
        <w:right w:val="none" w:sz="0" w:space="0" w:color="auto"/>
      </w:divBdr>
      <w:divsChild>
        <w:div w:id="1702585679">
          <w:marLeft w:val="0"/>
          <w:marRight w:val="0"/>
          <w:marTop w:val="0"/>
          <w:marBottom w:val="0"/>
          <w:divBdr>
            <w:top w:val="none" w:sz="0" w:space="0" w:color="auto"/>
            <w:left w:val="none" w:sz="0" w:space="0" w:color="auto"/>
            <w:bottom w:val="none" w:sz="0" w:space="0" w:color="auto"/>
            <w:right w:val="none" w:sz="0" w:space="0" w:color="auto"/>
          </w:divBdr>
          <w:divsChild>
            <w:div w:id="2120172998">
              <w:marLeft w:val="0"/>
              <w:marRight w:val="0"/>
              <w:marTop w:val="0"/>
              <w:marBottom w:val="0"/>
              <w:divBdr>
                <w:top w:val="none" w:sz="0" w:space="0" w:color="auto"/>
                <w:left w:val="none" w:sz="0" w:space="0" w:color="auto"/>
                <w:bottom w:val="none" w:sz="0" w:space="0" w:color="auto"/>
                <w:right w:val="none" w:sz="0" w:space="0" w:color="auto"/>
              </w:divBdr>
              <w:divsChild>
                <w:div w:id="169850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761177">
      <w:bodyDiv w:val="1"/>
      <w:marLeft w:val="0"/>
      <w:marRight w:val="0"/>
      <w:marTop w:val="0"/>
      <w:marBottom w:val="0"/>
      <w:divBdr>
        <w:top w:val="none" w:sz="0" w:space="0" w:color="auto"/>
        <w:left w:val="none" w:sz="0" w:space="0" w:color="auto"/>
        <w:bottom w:val="none" w:sz="0" w:space="0" w:color="auto"/>
        <w:right w:val="none" w:sz="0" w:space="0" w:color="auto"/>
      </w:divBdr>
      <w:divsChild>
        <w:div w:id="1640459046">
          <w:marLeft w:val="0"/>
          <w:marRight w:val="0"/>
          <w:marTop w:val="0"/>
          <w:marBottom w:val="0"/>
          <w:divBdr>
            <w:top w:val="none" w:sz="0" w:space="0" w:color="auto"/>
            <w:left w:val="none" w:sz="0" w:space="0" w:color="auto"/>
            <w:bottom w:val="none" w:sz="0" w:space="0" w:color="auto"/>
            <w:right w:val="none" w:sz="0" w:space="0" w:color="auto"/>
          </w:divBdr>
          <w:divsChild>
            <w:div w:id="142357203">
              <w:marLeft w:val="0"/>
              <w:marRight w:val="0"/>
              <w:marTop w:val="0"/>
              <w:marBottom w:val="0"/>
              <w:divBdr>
                <w:top w:val="none" w:sz="0" w:space="0" w:color="auto"/>
                <w:left w:val="none" w:sz="0" w:space="0" w:color="auto"/>
                <w:bottom w:val="none" w:sz="0" w:space="0" w:color="auto"/>
                <w:right w:val="none" w:sz="0" w:space="0" w:color="auto"/>
              </w:divBdr>
              <w:divsChild>
                <w:div w:id="132673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001933">
      <w:bodyDiv w:val="1"/>
      <w:marLeft w:val="0"/>
      <w:marRight w:val="0"/>
      <w:marTop w:val="0"/>
      <w:marBottom w:val="0"/>
      <w:divBdr>
        <w:top w:val="none" w:sz="0" w:space="0" w:color="auto"/>
        <w:left w:val="none" w:sz="0" w:space="0" w:color="auto"/>
        <w:bottom w:val="none" w:sz="0" w:space="0" w:color="auto"/>
        <w:right w:val="none" w:sz="0" w:space="0" w:color="auto"/>
      </w:divBdr>
    </w:div>
    <w:div w:id="1063987464">
      <w:bodyDiv w:val="1"/>
      <w:marLeft w:val="0"/>
      <w:marRight w:val="0"/>
      <w:marTop w:val="0"/>
      <w:marBottom w:val="0"/>
      <w:divBdr>
        <w:top w:val="none" w:sz="0" w:space="0" w:color="auto"/>
        <w:left w:val="none" w:sz="0" w:space="0" w:color="auto"/>
        <w:bottom w:val="none" w:sz="0" w:space="0" w:color="auto"/>
        <w:right w:val="none" w:sz="0" w:space="0" w:color="auto"/>
      </w:divBdr>
      <w:divsChild>
        <w:div w:id="893469966">
          <w:marLeft w:val="0"/>
          <w:marRight w:val="0"/>
          <w:marTop w:val="0"/>
          <w:marBottom w:val="0"/>
          <w:divBdr>
            <w:top w:val="none" w:sz="0" w:space="0" w:color="auto"/>
            <w:left w:val="none" w:sz="0" w:space="0" w:color="auto"/>
            <w:bottom w:val="none" w:sz="0" w:space="0" w:color="auto"/>
            <w:right w:val="none" w:sz="0" w:space="0" w:color="auto"/>
          </w:divBdr>
          <w:divsChild>
            <w:div w:id="1892694705">
              <w:marLeft w:val="0"/>
              <w:marRight w:val="0"/>
              <w:marTop w:val="0"/>
              <w:marBottom w:val="0"/>
              <w:divBdr>
                <w:top w:val="none" w:sz="0" w:space="0" w:color="auto"/>
                <w:left w:val="none" w:sz="0" w:space="0" w:color="auto"/>
                <w:bottom w:val="none" w:sz="0" w:space="0" w:color="auto"/>
                <w:right w:val="none" w:sz="0" w:space="0" w:color="auto"/>
              </w:divBdr>
              <w:divsChild>
                <w:div w:id="81248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573806">
      <w:bodyDiv w:val="1"/>
      <w:marLeft w:val="0"/>
      <w:marRight w:val="0"/>
      <w:marTop w:val="0"/>
      <w:marBottom w:val="0"/>
      <w:divBdr>
        <w:top w:val="none" w:sz="0" w:space="0" w:color="auto"/>
        <w:left w:val="none" w:sz="0" w:space="0" w:color="auto"/>
        <w:bottom w:val="none" w:sz="0" w:space="0" w:color="auto"/>
        <w:right w:val="none" w:sz="0" w:space="0" w:color="auto"/>
      </w:divBdr>
    </w:div>
    <w:div w:id="1358238181">
      <w:bodyDiv w:val="1"/>
      <w:marLeft w:val="0"/>
      <w:marRight w:val="0"/>
      <w:marTop w:val="0"/>
      <w:marBottom w:val="0"/>
      <w:divBdr>
        <w:top w:val="none" w:sz="0" w:space="0" w:color="auto"/>
        <w:left w:val="none" w:sz="0" w:space="0" w:color="auto"/>
        <w:bottom w:val="none" w:sz="0" w:space="0" w:color="auto"/>
        <w:right w:val="none" w:sz="0" w:space="0" w:color="auto"/>
      </w:divBdr>
      <w:divsChild>
        <w:div w:id="189952407">
          <w:marLeft w:val="0"/>
          <w:marRight w:val="0"/>
          <w:marTop w:val="0"/>
          <w:marBottom w:val="0"/>
          <w:divBdr>
            <w:top w:val="none" w:sz="0" w:space="0" w:color="auto"/>
            <w:left w:val="none" w:sz="0" w:space="0" w:color="auto"/>
            <w:bottom w:val="none" w:sz="0" w:space="0" w:color="auto"/>
            <w:right w:val="none" w:sz="0" w:space="0" w:color="auto"/>
          </w:divBdr>
          <w:divsChild>
            <w:div w:id="129790174">
              <w:marLeft w:val="0"/>
              <w:marRight w:val="0"/>
              <w:marTop w:val="0"/>
              <w:marBottom w:val="0"/>
              <w:divBdr>
                <w:top w:val="none" w:sz="0" w:space="0" w:color="auto"/>
                <w:left w:val="none" w:sz="0" w:space="0" w:color="auto"/>
                <w:bottom w:val="none" w:sz="0" w:space="0" w:color="auto"/>
                <w:right w:val="none" w:sz="0" w:space="0" w:color="auto"/>
              </w:divBdr>
              <w:divsChild>
                <w:div w:id="324481518">
                  <w:marLeft w:val="0"/>
                  <w:marRight w:val="0"/>
                  <w:marTop w:val="0"/>
                  <w:marBottom w:val="0"/>
                  <w:divBdr>
                    <w:top w:val="none" w:sz="0" w:space="0" w:color="auto"/>
                    <w:left w:val="none" w:sz="0" w:space="0" w:color="auto"/>
                    <w:bottom w:val="none" w:sz="0" w:space="0" w:color="auto"/>
                    <w:right w:val="none" w:sz="0" w:space="0" w:color="auto"/>
                  </w:divBdr>
                  <w:divsChild>
                    <w:div w:id="1225331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4208218">
      <w:bodyDiv w:val="1"/>
      <w:marLeft w:val="0"/>
      <w:marRight w:val="0"/>
      <w:marTop w:val="0"/>
      <w:marBottom w:val="0"/>
      <w:divBdr>
        <w:top w:val="none" w:sz="0" w:space="0" w:color="auto"/>
        <w:left w:val="none" w:sz="0" w:space="0" w:color="auto"/>
        <w:bottom w:val="none" w:sz="0" w:space="0" w:color="auto"/>
        <w:right w:val="none" w:sz="0" w:space="0" w:color="auto"/>
      </w:divBdr>
      <w:divsChild>
        <w:div w:id="1423139252">
          <w:marLeft w:val="0"/>
          <w:marRight w:val="0"/>
          <w:marTop w:val="0"/>
          <w:marBottom w:val="0"/>
          <w:divBdr>
            <w:top w:val="none" w:sz="0" w:space="0" w:color="auto"/>
            <w:left w:val="none" w:sz="0" w:space="0" w:color="auto"/>
            <w:bottom w:val="none" w:sz="0" w:space="0" w:color="auto"/>
            <w:right w:val="none" w:sz="0" w:space="0" w:color="auto"/>
          </w:divBdr>
          <w:divsChild>
            <w:div w:id="1859193595">
              <w:marLeft w:val="0"/>
              <w:marRight w:val="0"/>
              <w:marTop w:val="0"/>
              <w:marBottom w:val="0"/>
              <w:divBdr>
                <w:top w:val="none" w:sz="0" w:space="0" w:color="auto"/>
                <w:left w:val="none" w:sz="0" w:space="0" w:color="auto"/>
                <w:bottom w:val="none" w:sz="0" w:space="0" w:color="auto"/>
                <w:right w:val="none" w:sz="0" w:space="0" w:color="auto"/>
              </w:divBdr>
              <w:divsChild>
                <w:div w:id="1650093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007072">
      <w:bodyDiv w:val="1"/>
      <w:marLeft w:val="0"/>
      <w:marRight w:val="0"/>
      <w:marTop w:val="0"/>
      <w:marBottom w:val="0"/>
      <w:divBdr>
        <w:top w:val="none" w:sz="0" w:space="0" w:color="auto"/>
        <w:left w:val="none" w:sz="0" w:space="0" w:color="auto"/>
        <w:bottom w:val="none" w:sz="0" w:space="0" w:color="auto"/>
        <w:right w:val="none" w:sz="0" w:space="0" w:color="auto"/>
      </w:divBdr>
      <w:divsChild>
        <w:div w:id="1845508403">
          <w:marLeft w:val="0"/>
          <w:marRight w:val="0"/>
          <w:marTop w:val="0"/>
          <w:marBottom w:val="0"/>
          <w:divBdr>
            <w:top w:val="none" w:sz="0" w:space="0" w:color="auto"/>
            <w:left w:val="none" w:sz="0" w:space="0" w:color="auto"/>
            <w:bottom w:val="none" w:sz="0" w:space="0" w:color="auto"/>
            <w:right w:val="none" w:sz="0" w:space="0" w:color="auto"/>
          </w:divBdr>
          <w:divsChild>
            <w:div w:id="1333797997">
              <w:marLeft w:val="0"/>
              <w:marRight w:val="0"/>
              <w:marTop w:val="0"/>
              <w:marBottom w:val="0"/>
              <w:divBdr>
                <w:top w:val="none" w:sz="0" w:space="0" w:color="auto"/>
                <w:left w:val="none" w:sz="0" w:space="0" w:color="auto"/>
                <w:bottom w:val="none" w:sz="0" w:space="0" w:color="auto"/>
                <w:right w:val="none" w:sz="0" w:space="0" w:color="auto"/>
              </w:divBdr>
              <w:divsChild>
                <w:div w:id="119126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969698">
      <w:bodyDiv w:val="1"/>
      <w:marLeft w:val="0"/>
      <w:marRight w:val="0"/>
      <w:marTop w:val="0"/>
      <w:marBottom w:val="0"/>
      <w:divBdr>
        <w:top w:val="none" w:sz="0" w:space="0" w:color="auto"/>
        <w:left w:val="none" w:sz="0" w:space="0" w:color="auto"/>
        <w:bottom w:val="none" w:sz="0" w:space="0" w:color="auto"/>
        <w:right w:val="none" w:sz="0" w:space="0" w:color="auto"/>
      </w:divBdr>
    </w:div>
    <w:div w:id="2053189428">
      <w:bodyDiv w:val="1"/>
      <w:marLeft w:val="0"/>
      <w:marRight w:val="0"/>
      <w:marTop w:val="0"/>
      <w:marBottom w:val="0"/>
      <w:divBdr>
        <w:top w:val="none" w:sz="0" w:space="0" w:color="auto"/>
        <w:left w:val="none" w:sz="0" w:space="0" w:color="auto"/>
        <w:bottom w:val="none" w:sz="0" w:space="0" w:color="auto"/>
        <w:right w:val="none" w:sz="0" w:space="0" w:color="auto"/>
      </w:divBdr>
    </w:div>
    <w:div w:id="2098287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F1F0FD-8C4F-0343-92C7-7AAE545FA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3786</Words>
  <Characters>21582</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Miriana Mariussi</dc:creator>
  <cp:keywords/>
  <dc:description/>
  <cp:lastModifiedBy>Trupti Sudge</cp:lastModifiedBy>
  <cp:revision>2</cp:revision>
  <cp:lastPrinted>2024-11-26T18:50:00Z</cp:lastPrinted>
  <dcterms:created xsi:type="dcterms:W3CDTF">2024-11-26T19:04:00Z</dcterms:created>
  <dcterms:modified xsi:type="dcterms:W3CDTF">2024-11-26T19:04:00Z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id="ldnyGbta"/&gt;&lt;style id="http://www.zotero.org/styles/ieee" locale="en-US"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