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drawing>
          <wp:inline distT="0" distB="0" distL="114300" distR="114300">
            <wp:extent cx="8624570" cy="3459480"/>
            <wp:effectExtent l="0" t="0" r="5080" b="7620"/>
            <wp:docPr id="6" name="图片 6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24570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MyriadPro-BoldSemiCn" w:cs="Times New Roman"/>
          <w:b/>
          <w:bCs/>
          <w:color w:val="000000"/>
          <w:kern w:val="0"/>
          <w:sz w:val="24"/>
          <w:szCs w:val="24"/>
          <w:lang w:bidi="ar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MyriadPro-BoldSemiCn" w:cs="Times New Roman"/>
          <w:b/>
          <w:bCs/>
          <w:color w:val="000000"/>
          <w:kern w:val="0"/>
          <w:sz w:val="24"/>
          <w:szCs w:val="24"/>
          <w:lang w:bidi="ar"/>
        </w:rPr>
        <w:t>1.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eastAsia="MyriadPro-BoldSemiCn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Kaplan–Meier curves for </w:t>
      </w:r>
      <w:r>
        <w:rPr>
          <w:rFonts w:hint="eastAsia" w:ascii="Times New Roman" w:hAnsi="Times New Roman" w:eastAsia="MyriadPro-BoldSemiCn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OS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(A)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S 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(B)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M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FS 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(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BRFS 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(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D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)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RFS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(E)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in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ESRD patients with UTUC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 xml:space="preserve"> between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RT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 xml:space="preserve"> and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dialysis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group </w:t>
      </w:r>
      <w:r>
        <w:rPr>
          <w:rFonts w:hint="default" w:ascii="Times New Roman" w:hAnsi="Times New Roman" w:eastAsia="MyriadPro-BoldSemiCn" w:cs="Times New Roman"/>
          <w:color w:val="000000"/>
          <w:kern w:val="0"/>
          <w:sz w:val="24"/>
          <w:szCs w:val="24"/>
          <w:lang w:bidi="ar"/>
        </w:rPr>
        <w:t>in the matched cohort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OS: overall survival; CSS: cancer-specific survival;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M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FS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: m</w:t>
      </w:r>
      <w:r>
        <w:rPr>
          <w:rFonts w:hint="eastAsia" w:ascii="Times New Roman" w:hAnsi="Times New Roman" w:eastAsia="STIX-Regular" w:cs="Times New Roman"/>
          <w:color w:val="000000"/>
          <w:kern w:val="0"/>
          <w:sz w:val="24"/>
          <w:szCs w:val="24"/>
          <w:lang w:val="en-US" w:eastAsia="zh-CN" w:bidi="ar"/>
        </w:rPr>
        <w:t>etastasis-free survival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; BRFS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: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bladder recurrence-free survival;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RFS: contralateral recurrence-free survival;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UTUC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pper tract urothelial carcinoma;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ESRD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end-stage renal disease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;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RT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renal transplantation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S1</w:t>
      </w:r>
      <w:r>
        <w:rPr>
          <w:rFonts w:hint="default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. Univariable and multivariable Cox proportional hazard models for </w:t>
      </w:r>
      <w:r>
        <w:rPr>
          <w:rFonts w:hint="eastAsia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cancer-specific survival</w:t>
      </w:r>
      <w:r>
        <w:rPr>
          <w:rFonts w:hint="default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in the matched cohort</w:t>
      </w:r>
    </w:p>
    <w:tbl>
      <w:tblPr>
        <w:tblStyle w:val="2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9"/>
        <w:gridCol w:w="2947"/>
        <w:gridCol w:w="1212"/>
        <w:gridCol w:w="2538"/>
        <w:gridCol w:w="1385"/>
      </w:tblGrid>
      <w:tr>
        <w:trPr>
          <w:trHeight w:val="375" w:hRule="atLeast"/>
        </w:trPr>
        <w:tc>
          <w:tcPr>
            <w:tcW w:w="5999" w:type="dxa"/>
            <w:vMerge w:val="restart"/>
            <w:tcBorders>
              <w:top w:val="single" w:color="000000" w:sz="12" w:space="0"/>
              <w:left w:val="nil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59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Univariable analysis</w:t>
            </w:r>
          </w:p>
        </w:tc>
        <w:tc>
          <w:tcPr>
            <w:tcW w:w="392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Multivariable analysis</w:t>
            </w:r>
          </w:p>
        </w:tc>
      </w:tr>
      <w:tr>
        <w:trPr>
          <w:trHeight w:val="375" w:hRule="atLeast"/>
        </w:trPr>
        <w:tc>
          <w:tcPr>
            <w:tcW w:w="599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4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Hazard ratio (95% CI)</w:t>
            </w: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P-value 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Hazard ratio (95% CI)</w:t>
            </w:r>
          </w:p>
        </w:tc>
        <w:tc>
          <w:tcPr>
            <w:tcW w:w="1385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P-value </w:t>
            </w: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RT (referent: dialysis)</w:t>
            </w:r>
          </w:p>
        </w:tc>
        <w:tc>
          <w:tcPr>
            <w:tcW w:w="29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2.36(1.007-5.534)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  <w:tc>
          <w:tcPr>
            <w:tcW w:w="25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2.226(0.935-5.298)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0.071</w:t>
            </w: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 (referent: female)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0.769(0.262-2.264)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 years (continuous)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1.018(0.972-1.067)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Smoking (referent: no smoking)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0.672(0.156-2.892)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Prior history of NMIBCa (referent: no prior history)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0.485(0.113-2.078)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0.329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Concurrent NMIBCa(referent: no concurrent)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0.979(0.351-2.731)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Prior ureteroscopy (referent: no)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0.488(0.065-3.69)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Diameter (referent: &lt;3cm)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0.707(0.301-1.664)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0.427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Multifocal upper-tract tumour(referent: focal)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1.778(0.761-4.157)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(referent: G1&amp;G2)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1.067(0.466-2.445)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0.878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 stage (referent: Ta&amp;T1&amp;T2)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3.299(1.409-7.723)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3.106(1.321-7.299)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</w:t>
            </w: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Architecture(referent: pappilary)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0.961(0.318-2.909)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0.944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Lymphovascular Invasion (referent: absent)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2.186(0.729-6.548)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Carcinoma In Situ (referent: absent)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0.047(0-27047.659)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0.651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Squamous differentiation (referent: absent)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0.651(0.191-2.214)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0.492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Adenoid differentiation (referent: absent)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0.045(0-411.946)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0.505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Sarcomatoid differentiation (referent: absent)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1.062(0.245-4.597)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0.936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Necrosis (referent: absent)</w:t>
            </w:r>
          </w:p>
        </w:tc>
        <w:tc>
          <w:tcPr>
            <w:tcW w:w="2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1.277(0.425-3.833)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0.663</w:t>
            </w:r>
          </w:p>
        </w:tc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375" w:hRule="atLeast"/>
        </w:trPr>
        <w:tc>
          <w:tcPr>
            <w:tcW w:w="59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Surgical margin (referent: negative)</w:t>
            </w:r>
          </w:p>
        </w:tc>
        <w:tc>
          <w:tcPr>
            <w:tcW w:w="294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20.678(0-2591827366.996)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RT: renal transplantation;</w:t>
      </w:r>
      <w:r>
        <w:rPr>
          <w:rFonts w:hint="default" w:ascii="Times New Roman" w:hAnsi="Times New Roman" w:eastAsia="宋体" w:cs="Times New Roman"/>
          <w:b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NMIBCa: non-muscle invasive bladder cancer</w:t>
      </w:r>
    </w:p>
    <w:p/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yriadPro-BoldSemiC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mZTI3ZDViODc3ODA2NjNlYjQwM2MyZjE2NmFmM2MifQ=="/>
  </w:docVars>
  <w:rsids>
    <w:rsidRoot w:val="00000000"/>
    <w:rsid w:val="0766087E"/>
    <w:rsid w:val="09372A1C"/>
    <w:rsid w:val="15954FA3"/>
    <w:rsid w:val="20C40E80"/>
    <w:rsid w:val="24EE1BA2"/>
    <w:rsid w:val="2A4E536B"/>
    <w:rsid w:val="356E5D45"/>
    <w:rsid w:val="56F7DF70"/>
    <w:rsid w:val="748115BC"/>
    <w:rsid w:val="78852006"/>
    <w:rsid w:val="7AFF4AE1"/>
    <w:rsid w:val="7D4D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537</Words>
  <Characters>4372</Characters>
  <Lines>0</Lines>
  <Paragraphs>0</Paragraphs>
  <TotalTime>0</TotalTime>
  <ScaleCrop>false</ScaleCrop>
  <LinksUpToDate>false</LinksUpToDate>
  <CharactersWithSpaces>4745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2024-08-23T00:33:00Z</dcterms:created>
  <dc:creator>mayn</dc:creator>
  <cp:lastModifiedBy>郭恒</cp:lastModifiedBy>
  <dcterms:modified xsi:type="dcterms:W3CDTF">2024-10-30T21:34:49Z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73B02A4A648C48FC937A883F65863AE5_12</vt:lpwstr>
  </property>
</Properties>
</file>