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81ED" w14:textId="77777777" w:rsidR="004E5EC1" w:rsidRDefault="009D1947">
      <w:pPr>
        <w:keepNext/>
        <w:jc w:val="center"/>
      </w:pPr>
      <w:r>
        <w:rPr>
          <w:noProof/>
        </w:rPr>
        <w:drawing>
          <wp:inline distT="0" distB="0" distL="0" distR="0" wp14:anchorId="308F4F69" wp14:editId="04E643BE">
            <wp:extent cx="2520950" cy="22028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4BCC" w14:textId="77777777" w:rsidR="004E5EC1" w:rsidRDefault="00EF2377">
      <w:r>
        <w:t>Figure S1. Standard curve for hydrogen peroxide.</w:t>
      </w:r>
    </w:p>
    <w:p w14:paraId="3FB99DC3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0C18646" wp14:editId="6B48F262">
            <wp:extent cx="2520950" cy="220281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14B6" w14:textId="77777777" w:rsidR="004E5EC1" w:rsidRDefault="00EF2377">
      <w:r>
        <w:t>Figure S2. Swelling ratio of functionalized hydrogel microspheres.</w:t>
      </w:r>
    </w:p>
    <w:p w14:paraId="6BB55FE8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68879A54" wp14:editId="353864C1">
            <wp:extent cx="2520950" cy="22028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D46A9" w14:textId="77777777" w:rsidR="004E5EC1" w:rsidRDefault="00EF2377">
      <w:r>
        <w:t>Figure S3. Standard curve for Cu²⁺.</w:t>
      </w:r>
    </w:p>
    <w:p w14:paraId="6BFC9324" w14:textId="77777777" w:rsidR="004E5EC1" w:rsidRDefault="009D194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F7E0A97" wp14:editId="316931D3">
            <wp:extent cx="2518410" cy="220281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56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5AC6F" w14:textId="77777777" w:rsidR="004E5EC1" w:rsidRDefault="00EF2377">
      <w:r>
        <w:t>Figure S4. UV spectrum of g-C</w:t>
      </w:r>
      <w:r w:rsidRPr="00E35FC3">
        <w:rPr>
          <w:vertAlign w:val="subscript"/>
        </w:rPr>
        <w:t>3</w:t>
      </w:r>
      <w:r>
        <w:t>N</w:t>
      </w:r>
      <w:r w:rsidRPr="00E35FC3">
        <w:rPr>
          <w:vertAlign w:val="subscript"/>
        </w:rPr>
        <w:t>4</w:t>
      </w:r>
      <w:r>
        <w:t>.</w:t>
      </w:r>
    </w:p>
    <w:p w14:paraId="15D50EF2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BA945DE" wp14:editId="17EA23CD">
            <wp:extent cx="2520950" cy="220281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B0D9E" w14:textId="77777777" w:rsidR="004E5EC1" w:rsidRDefault="00EF2377">
      <w:r>
        <w:t>Figure S5. UV standard curve of g-C</w:t>
      </w:r>
      <w:r w:rsidRPr="00E35FC3">
        <w:rPr>
          <w:vertAlign w:val="subscript"/>
        </w:rPr>
        <w:t>3</w:t>
      </w:r>
      <w:r>
        <w:t>N</w:t>
      </w:r>
      <w:r w:rsidRPr="00E35FC3">
        <w:rPr>
          <w:vertAlign w:val="subscript"/>
        </w:rPr>
        <w:t>4</w:t>
      </w:r>
      <w:r>
        <w:t>.</w:t>
      </w:r>
    </w:p>
    <w:p w14:paraId="2236269D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0C6C3443" wp14:editId="2E1D9814">
            <wp:extent cx="2520950" cy="2202815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42211" w14:textId="77777777" w:rsidR="004E5EC1" w:rsidRDefault="00EF2377">
      <w:r>
        <w:t>Figure S6. Drug release curves for g-C</w:t>
      </w:r>
      <w:r w:rsidRPr="00E35FC3">
        <w:rPr>
          <w:vertAlign w:val="subscript"/>
        </w:rPr>
        <w:t>3</w:t>
      </w:r>
      <w:r>
        <w:t>N</w:t>
      </w:r>
      <w:r w:rsidRPr="00E35FC3">
        <w:rPr>
          <w:vertAlign w:val="subscript"/>
        </w:rPr>
        <w:t>4</w:t>
      </w:r>
      <w:r>
        <w:t xml:space="preserve"> and copper ions.</w:t>
      </w:r>
    </w:p>
    <w:p w14:paraId="0C4B8F2A" w14:textId="77777777" w:rsidR="004E5EC1" w:rsidRDefault="009D1947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05FF169" wp14:editId="3BBD2130">
            <wp:extent cx="2520950" cy="220281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FF72" w14:textId="77777777" w:rsidR="004E5EC1" w:rsidRDefault="00EF2377">
      <w:r>
        <w:t>Figure S7. Viability of RAW264.7 cells at different concentrations of g-C</w:t>
      </w:r>
      <w:r w:rsidRPr="00E35FC3">
        <w:rPr>
          <w:vertAlign w:val="subscript"/>
        </w:rPr>
        <w:t>3</w:t>
      </w:r>
      <w:r>
        <w:t>N</w:t>
      </w:r>
      <w:r w:rsidRPr="00E35FC3">
        <w:rPr>
          <w:vertAlign w:val="subscript"/>
        </w:rPr>
        <w:t>4</w:t>
      </w:r>
      <w:r>
        <w:t>.</w:t>
      </w:r>
    </w:p>
    <w:p w14:paraId="65B7934D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61AEF252" wp14:editId="0F93235C">
            <wp:extent cx="2520950" cy="22028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AD779" w14:textId="77777777" w:rsidR="004E5EC1" w:rsidRDefault="00591866">
      <w:r>
        <w:t>Figure S8. Viability of HUVECs at different concentrations of g-C</w:t>
      </w:r>
      <w:r w:rsidRPr="00E35FC3">
        <w:rPr>
          <w:vertAlign w:val="subscript"/>
        </w:rPr>
        <w:t>3</w:t>
      </w:r>
      <w:r>
        <w:t>N</w:t>
      </w:r>
      <w:r w:rsidRPr="00E35FC3">
        <w:rPr>
          <w:strike/>
          <w:vertAlign w:val="subscript"/>
        </w:rPr>
        <w:t>4</w:t>
      </w:r>
      <w:r>
        <w:t>.</w:t>
      </w:r>
    </w:p>
    <w:p w14:paraId="25492961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AC045A9" wp14:editId="5D3D1193">
            <wp:extent cx="2518410" cy="22028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56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541B6" w14:textId="77777777" w:rsidR="004E5EC1" w:rsidRDefault="00591866">
      <w:r>
        <w:t>Figure S9. Viability of RAW264.7 cells at different concentrations of copper ions.</w:t>
      </w:r>
    </w:p>
    <w:p w14:paraId="6476A3EE" w14:textId="77777777" w:rsidR="004E5EC1" w:rsidRDefault="009D1947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AD8228D" wp14:editId="20B22F26">
            <wp:extent cx="2520950" cy="2202815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BFE0" w14:textId="77777777" w:rsidR="00591866" w:rsidRPr="00591866" w:rsidRDefault="00591866" w:rsidP="00591866">
      <w:r w:rsidRPr="00591866">
        <w:rPr>
          <w:bCs/>
        </w:rPr>
        <w:t>Figure S10. Viability of HUVECs at different concentrations of copper ions.</w:t>
      </w:r>
    </w:p>
    <w:p w14:paraId="447CB9C2" w14:textId="77777777" w:rsidR="004E5EC1" w:rsidRPr="00591866" w:rsidRDefault="004E5EC1">
      <w:pPr>
        <w:pStyle w:val="a9"/>
      </w:pPr>
    </w:p>
    <w:p w14:paraId="7FEF28F4" w14:textId="77777777" w:rsidR="004E5EC1" w:rsidRDefault="009D1947">
      <w:pPr>
        <w:pStyle w:val="a9"/>
        <w:keepNext/>
      </w:pPr>
      <w:r>
        <w:rPr>
          <w:rFonts w:hint="eastAsia"/>
          <w:noProof/>
        </w:rPr>
        <w:drawing>
          <wp:inline distT="0" distB="0" distL="0" distR="0" wp14:anchorId="6EC799EC" wp14:editId="7A68D9C2">
            <wp:extent cx="5274310" cy="24269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24E9" w14:textId="77777777" w:rsidR="00591866" w:rsidRPr="00591866" w:rsidRDefault="00591866" w:rsidP="00591866">
      <w:r w:rsidRPr="00591866">
        <w:rPr>
          <w:bCs/>
        </w:rPr>
        <w:t>Figure S11. Live/dead staining of different functionalized hydrogel microspheres.</w:t>
      </w:r>
    </w:p>
    <w:p w14:paraId="34ABB352" w14:textId="77777777" w:rsidR="004E5EC1" w:rsidRDefault="009D1947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2376DE64" wp14:editId="223E5FFF">
            <wp:extent cx="5274310" cy="41814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B1EDD" w14:textId="77777777" w:rsidR="004E5EC1" w:rsidRDefault="00591866">
      <w:r>
        <w:t>Figure S12. CD31 expression in HUVECs after intervention with different functionalized hydrogel microspheres.</w:t>
      </w:r>
    </w:p>
    <w:p w14:paraId="57ABE877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DF57FEB" wp14:editId="5E3942BF">
            <wp:extent cx="2520950" cy="220281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1F172" w14:textId="77777777" w:rsidR="004E5EC1" w:rsidRDefault="00591866">
      <w:r>
        <w:t>Figure S13. Quantitative analysis of CD31 expression in HUVECs.</w:t>
      </w:r>
    </w:p>
    <w:p w14:paraId="5A98A8E9" w14:textId="77777777" w:rsidR="004E5EC1" w:rsidRDefault="009D1947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5C27433" wp14:editId="1FF0A810">
            <wp:extent cx="2520950" cy="220281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4CE49" w14:textId="77777777" w:rsidR="004E5EC1" w:rsidRDefault="00114A7A">
      <w:r>
        <w:t>Figure S14. Quantitative analysis of ROS probe expression in RAW264.7 cells.</w:t>
      </w:r>
    </w:p>
    <w:p w14:paraId="40BA7F9D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6E6C37FD" wp14:editId="48ACDE5E">
            <wp:extent cx="2520950" cy="220281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E939C" w14:textId="77777777" w:rsidR="004E5EC1" w:rsidRDefault="00114A7A">
      <w:r>
        <w:t>Figure S15. Quantitative analysis of CD86 expression in RAW264.7 cells.</w:t>
      </w:r>
    </w:p>
    <w:p w14:paraId="23319EE4" w14:textId="77777777" w:rsidR="004E5EC1" w:rsidRDefault="009D1947">
      <w:pPr>
        <w:keepNext/>
      </w:pPr>
      <w:r>
        <w:rPr>
          <w:rFonts w:hint="eastAsia"/>
          <w:noProof/>
        </w:rPr>
        <w:drawing>
          <wp:inline distT="0" distB="0" distL="0" distR="0" wp14:anchorId="2ADBA6EC" wp14:editId="479F7F5B">
            <wp:extent cx="5274310" cy="167767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954CA" w14:textId="77777777" w:rsidR="004E5EC1" w:rsidRDefault="00114A7A">
      <w:pPr>
        <w:rPr>
          <w:rFonts w:ascii="Malgun Gothic" w:eastAsiaTheme="minorEastAsia" w:hAnsi="Malgun Gothic"/>
        </w:rPr>
      </w:pPr>
      <w:r>
        <w:t>Figure S16. Semi-quantitative analysis of TNF-α, IL-1, and IL-6 expression in RAW264.7 cells.</w:t>
      </w:r>
    </w:p>
    <w:p w14:paraId="1826998F" w14:textId="77777777" w:rsidR="004E5EC1" w:rsidRDefault="009D1947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CE594CF" wp14:editId="1E8A9F5E">
            <wp:extent cx="2520950" cy="220281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C410" w14:textId="77777777" w:rsidR="004E5EC1" w:rsidRDefault="00090F57">
      <w:r>
        <w:t>Figure S17. Quantitative analysis of colony counts from Staphylococcus aureus plate streaking.</w:t>
      </w:r>
    </w:p>
    <w:p w14:paraId="25B76DBC" w14:textId="77777777" w:rsidR="004E5EC1" w:rsidRDefault="009D1947">
      <w:pPr>
        <w:pStyle w:val="a9"/>
        <w:keepNext/>
        <w:jc w:val="center"/>
      </w:pPr>
      <w:r>
        <w:rPr>
          <w:rFonts w:hint="eastAsia"/>
          <w:noProof/>
        </w:rPr>
        <w:drawing>
          <wp:inline distT="0" distB="0" distL="0" distR="0" wp14:anchorId="4710AEA4" wp14:editId="6608AD15">
            <wp:extent cx="2520950" cy="220281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9898F" w14:textId="77777777" w:rsidR="004E5EC1" w:rsidRDefault="00090F57">
      <w:r>
        <w:t xml:space="preserve">Figure S18. Quantitative analysis of colony counts from </w:t>
      </w:r>
      <w:r>
        <w:rPr>
          <w:rStyle w:val="ac"/>
        </w:rPr>
        <w:t>Escherichia coli</w:t>
      </w:r>
      <w:r>
        <w:t xml:space="preserve"> plate streaking.</w:t>
      </w:r>
    </w:p>
    <w:p w14:paraId="681EF8A1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75E4E0DB" wp14:editId="689336C7">
            <wp:extent cx="4411345" cy="20002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963" cy="200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35D9" w14:textId="77777777" w:rsidR="004E5EC1" w:rsidRDefault="00090F57">
      <w:r>
        <w:t>Figure S19. Crystal violet staining of bacterial biofilms following intervention with different functionalized hydrogel microspheres.</w:t>
      </w:r>
    </w:p>
    <w:p w14:paraId="1F5F74E4" w14:textId="77777777" w:rsidR="004E5EC1" w:rsidRDefault="009D1947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72A96EFE" wp14:editId="69140C65">
            <wp:extent cx="5042535" cy="220281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055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40501" w14:textId="77777777" w:rsidR="004E5EC1" w:rsidRDefault="00090F57">
      <w:r>
        <w:t>Figure S20. Quantitative analysis of crystal violet staining of bacterial biofilms.</w:t>
      </w:r>
    </w:p>
    <w:p w14:paraId="1710B75B" w14:textId="77777777" w:rsidR="004E5EC1" w:rsidRDefault="009D194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12C5DED" wp14:editId="5E1C21C4">
            <wp:extent cx="2520950" cy="22028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6D62D" w14:textId="77777777" w:rsidR="004E5EC1" w:rsidRDefault="00090F57">
      <w:r>
        <w:t>Figure S21. Quantitative analysis of colony counts from Staphylococcus aureus in vivo.</w:t>
      </w:r>
    </w:p>
    <w:p w14:paraId="59637E6C" w14:textId="77777777" w:rsidR="004E5EC1" w:rsidRDefault="009D1947">
      <w:pPr>
        <w:keepNext/>
      </w:pPr>
      <w:r>
        <w:rPr>
          <w:rFonts w:hint="eastAsia"/>
          <w:noProof/>
        </w:rPr>
        <w:drawing>
          <wp:inline distT="0" distB="0" distL="0" distR="0" wp14:anchorId="78483FC8" wp14:editId="06C3C4DC">
            <wp:extent cx="5274310" cy="234823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5DBA9" w14:textId="77777777" w:rsidR="004E5EC1" w:rsidRDefault="00090F57">
      <w:r>
        <w:t>Figure S22. CD31 expression on day 7 post-intervention in biofilm wounds treated with different functionalized hydrogel microspheres.</w:t>
      </w:r>
    </w:p>
    <w:p w14:paraId="6AF8C7D8" w14:textId="77777777" w:rsidR="004E5EC1" w:rsidRDefault="009D1947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F63E04D" wp14:editId="55A09C2C">
            <wp:extent cx="2518410" cy="220281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56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7A76C" w14:textId="77777777" w:rsidR="004E5EC1" w:rsidRDefault="00090F57">
      <w:r>
        <w:t>Figure S23. Quantitative analysis of CD31 expression in vivo.</w:t>
      </w:r>
    </w:p>
    <w:p w14:paraId="577EC11C" w14:textId="77777777" w:rsidR="004E5EC1" w:rsidRDefault="009D1947">
      <w:pPr>
        <w:keepNext/>
      </w:pPr>
      <w:r>
        <w:rPr>
          <w:rFonts w:hint="eastAsia"/>
          <w:noProof/>
        </w:rPr>
        <w:drawing>
          <wp:inline distT="0" distB="0" distL="0" distR="0" wp14:anchorId="0D9438A7" wp14:editId="0A4E0B07">
            <wp:extent cx="5274310" cy="352742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84AE" w14:textId="26B82975" w:rsidR="004E5EC1" w:rsidRDefault="00090F57" w:rsidP="00E35FC3">
      <w:r>
        <w:t>Figure S24. H&amp;E staining of heart, liver, spleen, lung, and kidney tissues in vivo.</w:t>
      </w:r>
    </w:p>
    <w:p w14:paraId="021B23D5" w14:textId="663A49F0" w:rsidR="00E35FC3" w:rsidRDefault="00E35FC3" w:rsidP="00E35FC3"/>
    <w:p w14:paraId="653378CB" w14:textId="02ADF737" w:rsidR="00E35FC3" w:rsidRDefault="00E35FC3" w:rsidP="00E35FC3"/>
    <w:p w14:paraId="66F1A8EF" w14:textId="5FEABC41" w:rsidR="00E35FC3" w:rsidRDefault="00E35FC3" w:rsidP="00E35FC3"/>
    <w:p w14:paraId="4B44FBE1" w14:textId="307FC0A7" w:rsidR="00E35FC3" w:rsidRDefault="00E35FC3" w:rsidP="00E35FC3"/>
    <w:p w14:paraId="300E9F4F" w14:textId="3C026EF8" w:rsidR="00E35FC3" w:rsidRDefault="00E35FC3" w:rsidP="00E35FC3"/>
    <w:p w14:paraId="4467EEB2" w14:textId="623CEAE5" w:rsidR="00E35FC3" w:rsidRDefault="00E35FC3" w:rsidP="00E35FC3"/>
    <w:p w14:paraId="560C30ED" w14:textId="2CBDD6DB" w:rsidR="00E35FC3" w:rsidRDefault="00E35FC3" w:rsidP="00E35FC3"/>
    <w:p w14:paraId="09E85279" w14:textId="77777777" w:rsidR="00E35FC3" w:rsidRDefault="00E35FC3" w:rsidP="00E35FC3">
      <w:pPr>
        <w:rPr>
          <w:rFonts w:hint="eastAsia"/>
        </w:rPr>
      </w:pPr>
    </w:p>
    <w:p w14:paraId="29B7AEB3" w14:textId="77777777" w:rsidR="004E5EC1" w:rsidRDefault="009D1947">
      <w:r>
        <w:rPr>
          <w:rFonts w:hint="eastAsia"/>
        </w:rPr>
        <w:lastRenderedPageBreak/>
        <w:t>Table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78"/>
        <w:gridCol w:w="6728"/>
      </w:tblGrid>
      <w:tr w:rsidR="004E5EC1" w14:paraId="3FFB4098" w14:textId="77777777">
        <w:tc>
          <w:tcPr>
            <w:tcW w:w="157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06B5D84E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Name</w:t>
            </w:r>
          </w:p>
        </w:tc>
        <w:tc>
          <w:tcPr>
            <w:tcW w:w="67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937E28F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Primer sequence</w:t>
            </w:r>
          </w:p>
        </w:tc>
      </w:tr>
      <w:tr w:rsidR="004E5EC1" w14:paraId="56EB2AB8" w14:textId="77777777">
        <w:tc>
          <w:tcPr>
            <w:tcW w:w="1578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24E9ED59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I</w:t>
            </w:r>
            <w:r>
              <w:rPr>
                <w:kern w:val="0"/>
                <w:szCs w:val="20"/>
              </w:rPr>
              <w:t>L-1</w:t>
            </w:r>
          </w:p>
        </w:tc>
        <w:tc>
          <w:tcPr>
            <w:tcW w:w="6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D4338E9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F</w:t>
            </w:r>
            <w:r>
              <w:rPr>
                <w:kern w:val="0"/>
                <w:szCs w:val="20"/>
              </w:rPr>
              <w:t>orward</w:t>
            </w:r>
            <w:r>
              <w:rPr>
                <w:rFonts w:hint="eastAsia"/>
                <w:kern w:val="0"/>
                <w:szCs w:val="20"/>
              </w:rPr>
              <w:t>: 5</w:t>
            </w:r>
            <w:r>
              <w:rPr>
                <w:rFonts w:hint="eastAsia"/>
                <w:kern w:val="0"/>
                <w:szCs w:val="20"/>
              </w:rPr>
              <w:t>′</w:t>
            </w:r>
            <w:r>
              <w:rPr>
                <w:rFonts w:hint="eastAsia"/>
                <w:kern w:val="0"/>
                <w:szCs w:val="20"/>
              </w:rPr>
              <w:t>-</w:t>
            </w:r>
            <w:r>
              <w:rPr>
                <w:kern w:val="0"/>
                <w:szCs w:val="20"/>
              </w:rPr>
              <w:t xml:space="preserve"> TTCAGGCAGGCAGTATCACTC</w:t>
            </w:r>
            <w:r>
              <w:rPr>
                <w:rFonts w:hint="eastAsia"/>
                <w:kern w:val="0"/>
                <w:szCs w:val="20"/>
              </w:rPr>
              <w:t xml:space="preserve"> -3</w:t>
            </w:r>
            <w:r>
              <w:rPr>
                <w:rFonts w:hint="eastAsia"/>
                <w:kern w:val="0"/>
                <w:szCs w:val="20"/>
              </w:rPr>
              <w:t>′</w:t>
            </w:r>
          </w:p>
        </w:tc>
      </w:tr>
      <w:tr w:rsidR="004E5EC1" w14:paraId="73DD308B" w14:textId="77777777">
        <w:tc>
          <w:tcPr>
            <w:tcW w:w="1578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D2BA26" w14:textId="77777777" w:rsidR="004E5EC1" w:rsidRDefault="004E5EC1">
            <w:pPr>
              <w:ind w:firstLine="480"/>
              <w:rPr>
                <w:kern w:val="0"/>
                <w:szCs w:val="20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C0D76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R</w:t>
            </w:r>
            <w:r>
              <w:rPr>
                <w:kern w:val="0"/>
                <w:szCs w:val="20"/>
              </w:rPr>
              <w:t>everse</w:t>
            </w:r>
            <w:r>
              <w:rPr>
                <w:rFonts w:hint="eastAsia"/>
                <w:kern w:val="0"/>
                <w:szCs w:val="20"/>
              </w:rPr>
              <w:t>: 5</w:t>
            </w:r>
            <w:r>
              <w:rPr>
                <w:rFonts w:hint="eastAsia"/>
                <w:kern w:val="0"/>
                <w:szCs w:val="20"/>
              </w:rPr>
              <w:t>′</w:t>
            </w:r>
            <w:r>
              <w:rPr>
                <w:rFonts w:hint="eastAsia"/>
                <w:kern w:val="0"/>
                <w:szCs w:val="20"/>
              </w:rPr>
              <w:t>-</w:t>
            </w:r>
            <w:r>
              <w:rPr>
                <w:kern w:val="0"/>
                <w:szCs w:val="20"/>
              </w:rPr>
              <w:t xml:space="preserve"> GAAGGTCCACGGGAAAGACAC</w:t>
            </w:r>
            <w:r>
              <w:rPr>
                <w:rFonts w:hint="eastAsia"/>
                <w:kern w:val="0"/>
                <w:szCs w:val="20"/>
              </w:rPr>
              <w:t xml:space="preserve"> -3</w:t>
            </w:r>
            <w:r>
              <w:rPr>
                <w:rFonts w:hint="eastAsia"/>
                <w:kern w:val="0"/>
                <w:szCs w:val="20"/>
              </w:rPr>
              <w:t>′</w:t>
            </w:r>
          </w:p>
        </w:tc>
      </w:tr>
      <w:tr w:rsidR="004E5EC1" w14:paraId="25C30D93" w14:textId="77777777">
        <w:tc>
          <w:tcPr>
            <w:tcW w:w="1578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79C4C0C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I</w:t>
            </w:r>
            <w:r>
              <w:rPr>
                <w:kern w:val="0"/>
                <w:szCs w:val="20"/>
              </w:rPr>
              <w:t>L-6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1E0C1A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F</w:t>
            </w:r>
            <w:r>
              <w:rPr>
                <w:kern w:val="0"/>
                <w:szCs w:val="20"/>
              </w:rPr>
              <w:t>orward</w:t>
            </w:r>
            <w:r>
              <w:rPr>
                <w:rFonts w:hint="eastAsia"/>
                <w:kern w:val="0"/>
                <w:szCs w:val="20"/>
              </w:rPr>
              <w:t>: 5</w:t>
            </w:r>
            <w:r>
              <w:rPr>
                <w:rFonts w:hint="eastAsia"/>
                <w:kern w:val="0"/>
                <w:szCs w:val="20"/>
              </w:rPr>
              <w:t>′</w:t>
            </w:r>
            <w:r>
              <w:rPr>
                <w:rFonts w:hint="eastAsia"/>
                <w:kern w:val="0"/>
                <w:szCs w:val="20"/>
              </w:rPr>
              <w:t>-</w:t>
            </w:r>
            <w:r>
              <w:rPr>
                <w:kern w:val="0"/>
                <w:szCs w:val="20"/>
              </w:rPr>
              <w:t xml:space="preserve"> CTGCAAGAGACTTCCATCCAG</w:t>
            </w:r>
            <w:r>
              <w:rPr>
                <w:rFonts w:hint="eastAsia"/>
                <w:kern w:val="0"/>
                <w:szCs w:val="20"/>
              </w:rPr>
              <w:t xml:space="preserve"> -3</w:t>
            </w:r>
            <w:r>
              <w:rPr>
                <w:rFonts w:hint="eastAsia"/>
                <w:kern w:val="0"/>
                <w:szCs w:val="20"/>
              </w:rPr>
              <w:t>′</w:t>
            </w:r>
          </w:p>
        </w:tc>
      </w:tr>
      <w:tr w:rsidR="004E5EC1" w14:paraId="0DEB76EC" w14:textId="77777777">
        <w:tc>
          <w:tcPr>
            <w:tcW w:w="1578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6EC88DC" w14:textId="77777777" w:rsidR="004E5EC1" w:rsidRDefault="004E5EC1">
            <w:pPr>
              <w:ind w:firstLine="480"/>
              <w:rPr>
                <w:kern w:val="0"/>
                <w:szCs w:val="20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4B2C32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R</w:t>
            </w:r>
            <w:r>
              <w:rPr>
                <w:kern w:val="0"/>
                <w:szCs w:val="20"/>
              </w:rPr>
              <w:t>everse</w:t>
            </w:r>
            <w:r>
              <w:rPr>
                <w:rFonts w:hint="eastAsia"/>
                <w:kern w:val="0"/>
                <w:szCs w:val="20"/>
              </w:rPr>
              <w:t>: 5</w:t>
            </w:r>
            <w:r>
              <w:rPr>
                <w:rFonts w:hint="eastAsia"/>
                <w:kern w:val="0"/>
                <w:szCs w:val="20"/>
              </w:rPr>
              <w:t>′</w:t>
            </w:r>
            <w:r>
              <w:rPr>
                <w:rFonts w:hint="eastAsia"/>
                <w:kern w:val="0"/>
                <w:szCs w:val="20"/>
              </w:rPr>
              <w:t>-</w:t>
            </w:r>
            <w:r>
              <w:rPr>
                <w:kern w:val="0"/>
                <w:szCs w:val="20"/>
              </w:rPr>
              <w:t>AGTGGTATAGACAGGTCTGTTGG</w:t>
            </w:r>
            <w:r>
              <w:rPr>
                <w:rFonts w:hint="eastAsia"/>
                <w:kern w:val="0"/>
                <w:szCs w:val="20"/>
              </w:rPr>
              <w:t xml:space="preserve"> -3</w:t>
            </w:r>
            <w:r>
              <w:rPr>
                <w:rFonts w:hint="eastAsia"/>
                <w:kern w:val="0"/>
                <w:szCs w:val="20"/>
              </w:rPr>
              <w:t>′</w:t>
            </w:r>
          </w:p>
        </w:tc>
      </w:tr>
      <w:tr w:rsidR="004E5EC1" w14:paraId="2D6A1000" w14:textId="77777777">
        <w:tc>
          <w:tcPr>
            <w:tcW w:w="1578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D3DFFD9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TNF-</w:t>
            </w:r>
            <w:r>
              <w:rPr>
                <w:rFonts w:eastAsia="Malgun Gothic"/>
                <w:kern w:val="0"/>
                <w:szCs w:val="20"/>
              </w:rPr>
              <w:t>α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CDF93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F</w:t>
            </w:r>
            <w:r>
              <w:rPr>
                <w:kern w:val="0"/>
                <w:szCs w:val="20"/>
              </w:rPr>
              <w:t>orward</w:t>
            </w:r>
            <w:r>
              <w:rPr>
                <w:rFonts w:hint="eastAsia"/>
                <w:kern w:val="0"/>
                <w:szCs w:val="20"/>
              </w:rPr>
              <w:t>: 5</w:t>
            </w:r>
            <w:r>
              <w:rPr>
                <w:rFonts w:hint="eastAsia"/>
                <w:kern w:val="0"/>
                <w:szCs w:val="20"/>
              </w:rPr>
              <w:t>′</w:t>
            </w:r>
            <w:r>
              <w:rPr>
                <w:rFonts w:hint="eastAsia"/>
                <w:kern w:val="0"/>
                <w:szCs w:val="20"/>
              </w:rPr>
              <w:t>-</w:t>
            </w:r>
            <w:r>
              <w:rPr>
                <w:kern w:val="0"/>
                <w:szCs w:val="20"/>
              </w:rPr>
              <w:t>CAGGCGGTGCCTATGTCTC</w:t>
            </w:r>
            <w:r>
              <w:rPr>
                <w:rFonts w:hint="eastAsia"/>
                <w:kern w:val="0"/>
                <w:szCs w:val="20"/>
              </w:rPr>
              <w:t xml:space="preserve"> -3</w:t>
            </w:r>
            <w:r>
              <w:rPr>
                <w:rFonts w:hint="eastAsia"/>
                <w:kern w:val="0"/>
                <w:szCs w:val="20"/>
              </w:rPr>
              <w:t>′</w:t>
            </w:r>
          </w:p>
        </w:tc>
      </w:tr>
      <w:tr w:rsidR="004E5EC1" w14:paraId="6F06811D" w14:textId="77777777">
        <w:tc>
          <w:tcPr>
            <w:tcW w:w="1578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8F4A4BE" w14:textId="77777777" w:rsidR="004E5EC1" w:rsidRDefault="004E5EC1">
            <w:pPr>
              <w:ind w:firstLine="480"/>
              <w:rPr>
                <w:kern w:val="0"/>
                <w:szCs w:val="20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C60F792" w14:textId="77777777" w:rsidR="004E5EC1" w:rsidRDefault="009D1947">
            <w:pPr>
              <w:ind w:firstLine="48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R</w:t>
            </w:r>
            <w:r>
              <w:rPr>
                <w:kern w:val="0"/>
                <w:szCs w:val="20"/>
              </w:rPr>
              <w:t>everse</w:t>
            </w:r>
            <w:r>
              <w:rPr>
                <w:rFonts w:hint="eastAsia"/>
                <w:kern w:val="0"/>
                <w:szCs w:val="20"/>
              </w:rPr>
              <w:t>: 5</w:t>
            </w:r>
            <w:r>
              <w:rPr>
                <w:rFonts w:hint="eastAsia"/>
                <w:kern w:val="0"/>
                <w:szCs w:val="20"/>
              </w:rPr>
              <w:t>′</w:t>
            </w:r>
            <w:r>
              <w:rPr>
                <w:rFonts w:hint="eastAsia"/>
                <w:kern w:val="0"/>
                <w:szCs w:val="20"/>
              </w:rPr>
              <w:t>-</w:t>
            </w:r>
            <w:r>
              <w:rPr>
                <w:kern w:val="0"/>
                <w:szCs w:val="20"/>
              </w:rPr>
              <w:t>CGATCACCCCGAAGTTCAGTAG</w:t>
            </w:r>
            <w:r>
              <w:rPr>
                <w:rFonts w:hint="eastAsia"/>
                <w:kern w:val="0"/>
                <w:szCs w:val="20"/>
              </w:rPr>
              <w:t xml:space="preserve"> -3</w:t>
            </w:r>
            <w:r>
              <w:rPr>
                <w:rFonts w:hint="eastAsia"/>
                <w:kern w:val="0"/>
                <w:szCs w:val="20"/>
              </w:rPr>
              <w:t>′</w:t>
            </w:r>
          </w:p>
        </w:tc>
      </w:tr>
    </w:tbl>
    <w:p w14:paraId="67943702" w14:textId="77777777" w:rsidR="004E5EC1" w:rsidRDefault="004E5EC1">
      <w:pPr>
        <w:ind w:firstLine="480"/>
      </w:pPr>
    </w:p>
    <w:p w14:paraId="3C0F4322" w14:textId="77777777" w:rsidR="004E5EC1" w:rsidRDefault="004E5EC1"/>
    <w:sectPr w:rsidR="004E5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8E16" w14:textId="77777777" w:rsidR="00046457" w:rsidRDefault="00046457">
      <w:pPr>
        <w:spacing w:line="240" w:lineRule="auto"/>
      </w:pPr>
      <w:r>
        <w:separator/>
      </w:r>
    </w:p>
  </w:endnote>
  <w:endnote w:type="continuationSeparator" w:id="0">
    <w:p w14:paraId="3F69F276" w14:textId="77777777" w:rsidR="00046457" w:rsidRDefault="00046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A9A4E" w14:textId="77777777" w:rsidR="00046457" w:rsidRDefault="00046457">
      <w:r>
        <w:separator/>
      </w:r>
    </w:p>
  </w:footnote>
  <w:footnote w:type="continuationSeparator" w:id="0">
    <w:p w14:paraId="7055F201" w14:textId="77777777" w:rsidR="00046457" w:rsidRDefault="00046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7QwMDYzNDE1tTQ0NzRW0lEKTi0uzszPAykwqQUA+BesciwAAAA="/>
    <w:docVar w:name="commondata" w:val="eyJoZGlkIjoiOTg4MzZlM2MyNzExNzUyYmQ3N2NlMzdlNjFmNGM3NjIifQ=="/>
  </w:docVars>
  <w:rsids>
    <w:rsidRoot w:val="000D338A"/>
    <w:rsid w:val="00046457"/>
    <w:rsid w:val="000773C4"/>
    <w:rsid w:val="00090F57"/>
    <w:rsid w:val="000D338A"/>
    <w:rsid w:val="00114A7A"/>
    <w:rsid w:val="00115087"/>
    <w:rsid w:val="00154E66"/>
    <w:rsid w:val="002114B6"/>
    <w:rsid w:val="00232B1D"/>
    <w:rsid w:val="002755E5"/>
    <w:rsid w:val="00381D40"/>
    <w:rsid w:val="003A19D0"/>
    <w:rsid w:val="0045426B"/>
    <w:rsid w:val="00494B04"/>
    <w:rsid w:val="004E5EC1"/>
    <w:rsid w:val="00542A91"/>
    <w:rsid w:val="00591866"/>
    <w:rsid w:val="007D20D4"/>
    <w:rsid w:val="007D4D77"/>
    <w:rsid w:val="007F03BE"/>
    <w:rsid w:val="008170E0"/>
    <w:rsid w:val="009B6E34"/>
    <w:rsid w:val="009D1947"/>
    <w:rsid w:val="00A10AD9"/>
    <w:rsid w:val="00A2563B"/>
    <w:rsid w:val="00A320E3"/>
    <w:rsid w:val="00A70CAC"/>
    <w:rsid w:val="00B54349"/>
    <w:rsid w:val="00BD6A7D"/>
    <w:rsid w:val="00BD7778"/>
    <w:rsid w:val="00C020EA"/>
    <w:rsid w:val="00C02574"/>
    <w:rsid w:val="00C844C6"/>
    <w:rsid w:val="00CA57B6"/>
    <w:rsid w:val="00D60B30"/>
    <w:rsid w:val="00DE545F"/>
    <w:rsid w:val="00E0785B"/>
    <w:rsid w:val="00E1110A"/>
    <w:rsid w:val="00E35FC3"/>
    <w:rsid w:val="00EF2377"/>
    <w:rsid w:val="00F06E9F"/>
    <w:rsid w:val="00F46A02"/>
    <w:rsid w:val="00FA5C93"/>
    <w:rsid w:val="0A45010F"/>
    <w:rsid w:val="2FD3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9FEF34"/>
  <w15:docId w15:val="{76D6BEB4-1B31-4BF9-A443-38FC05D7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pPr>
      <w:widowControl w:val="0"/>
    </w:pPr>
    <w:rPr>
      <w:rFonts w:ascii="Times New Roman" w:eastAsia="宋体" w:hAnsi="Times New Roman"/>
      <w:kern w:val="2"/>
      <w:sz w:val="24"/>
      <w:szCs w:val="22"/>
    </w:rPr>
  </w:style>
  <w:style w:type="character" w:customStyle="1" w:styleId="a7">
    <w:name w:val="页眉 字符"/>
    <w:basedOn w:val="a0"/>
    <w:link w:val="a6"/>
    <w:uiPriority w:val="99"/>
    <w:rPr>
      <w:rFonts w:ascii="Times New Roman" w:eastAsia="宋体" w:hAnsi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Times New Roman" w:eastAsia="宋体" w:hAnsi="Times New Roman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91866"/>
    <w:pPr>
      <w:widowControl/>
      <w:spacing w:before="100" w:beforeAutospacing="1" w:after="100" w:afterAutospacing="1" w:line="240" w:lineRule="auto"/>
    </w:pPr>
    <w:rPr>
      <w:rFonts w:ascii="宋体" w:hAnsi="宋体" w:cs="宋体"/>
      <w:kern w:val="0"/>
      <w:szCs w:val="24"/>
    </w:rPr>
  </w:style>
  <w:style w:type="character" w:styleId="ab">
    <w:name w:val="Strong"/>
    <w:basedOn w:val="a0"/>
    <w:uiPriority w:val="22"/>
    <w:qFormat/>
    <w:rsid w:val="00591866"/>
    <w:rPr>
      <w:b/>
      <w:bCs/>
    </w:rPr>
  </w:style>
  <w:style w:type="character" w:styleId="ac">
    <w:name w:val="Emphasis"/>
    <w:basedOn w:val="a0"/>
    <w:uiPriority w:val="20"/>
    <w:qFormat/>
    <w:rsid w:val="00090F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5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309</Words>
  <Characters>1898</Characters>
  <Application>Microsoft Office Word</Application>
  <DocSecurity>0</DocSecurity>
  <Lines>82</Lines>
  <Paragraphs>42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chaoyu pu</dc:creator>
  <cp:lastModifiedBy>chaoyu pu</cp:lastModifiedBy>
  <cp:revision>7</cp:revision>
  <dcterms:created xsi:type="dcterms:W3CDTF">2024-10-09T14:10:00Z</dcterms:created>
  <dcterms:modified xsi:type="dcterms:W3CDTF">2024-10-11T13:12:00Z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9a669180c54c161546d67b0b01d961cfd596b867b0a2a55ba2bc2aee5771007a</vt:lpwstr>
  </property>
  <property fmtid="{D5CDD505-2E9C-101B-9397-08002B2CF9AE}" pid="3" name="KSOProductBuildVer">
    <vt:lpwstr>2052-12.1.0.17857</vt:lpwstr>
  </property>
  <property fmtid="{D5CDD505-2E9C-101B-9397-08002B2CF9AE}" pid="4" name="ICV">
    <vt:lpwstr>1EE0CE28386345F7B7F9639B0F3BD81B_12</vt:lpwstr>
  </property>
</Properties>
</file>