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03E5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01E20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 w:rsidRPr="00D21478">
        <w:rPr>
          <w:rFonts w:ascii="Times New Roman" w:hAnsi="Times New Roman" w:cs="Times New Roman"/>
          <w:sz w:val="20"/>
          <w:szCs w:val="20"/>
        </w:rPr>
        <w:t xml:space="preserve">  Overall survival rates among patients by TTFields therapy cohort</w:t>
      </w: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2980"/>
        <w:gridCol w:w="2980"/>
      </w:tblGrid>
      <w:tr w:rsidR="00AF25A2" w:rsidRPr="00D21478" w14:paraId="1B33E19B" w14:textId="77777777" w:rsidTr="00CF6939">
        <w:trPr>
          <w:trHeight w:val="144"/>
        </w:trPr>
        <w:tc>
          <w:tcPr>
            <w:tcW w:w="34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32D46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CC267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TTFields</w:t>
            </w:r>
          </w:p>
          <w:p w14:paraId="4D2AB984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(n=109)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BDD75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TTFields</w:t>
            </w:r>
          </w:p>
          <w:p w14:paraId="770BCFE8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(n=99)</w:t>
            </w:r>
          </w:p>
        </w:tc>
      </w:tr>
      <w:tr w:rsidR="00AF25A2" w:rsidRPr="00D21478" w14:paraId="7FAAE762" w14:textId="77777777" w:rsidTr="00CF6939">
        <w:trPr>
          <w:trHeight w:val="144"/>
        </w:trPr>
        <w:tc>
          <w:tcPr>
            <w:tcW w:w="3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2C78F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1-year OS, % (95% CI)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E8107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81 (74-88)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8DFB4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73 (64-82)</w:t>
            </w:r>
          </w:p>
        </w:tc>
      </w:tr>
      <w:tr w:rsidR="00AF25A2" w:rsidRPr="00D21478" w14:paraId="60060341" w14:textId="77777777" w:rsidTr="00CF6939">
        <w:trPr>
          <w:trHeight w:val="14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BA97D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2-year OS, %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2093C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43 (34-54)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9210F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31 (23-42)</w:t>
            </w:r>
          </w:p>
        </w:tc>
      </w:tr>
      <w:tr w:rsidR="00AF25A2" w:rsidRPr="00D21478" w14:paraId="42EE9763" w14:textId="77777777" w:rsidTr="00CF6939">
        <w:trPr>
          <w:trHeight w:val="14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7C767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3-year OS, %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99EBF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24 (16-34)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BE78C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21 (14-31)</w:t>
            </w:r>
          </w:p>
        </w:tc>
      </w:tr>
      <w:tr w:rsidR="00AF25A2" w:rsidRPr="00D21478" w14:paraId="7E3B3876" w14:textId="77777777" w:rsidTr="00CF6939">
        <w:trPr>
          <w:trHeight w:val="14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28D47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4-year OS, %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2AE3D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21 (14-31)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34503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16 (10-27)</w:t>
            </w:r>
          </w:p>
        </w:tc>
      </w:tr>
      <w:tr w:rsidR="00AF25A2" w:rsidRPr="00D21478" w14:paraId="00BEEF4A" w14:textId="77777777" w:rsidTr="00CF6939">
        <w:trPr>
          <w:trHeight w:val="14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205CC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5-year OS, %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53190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17 (11-28)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B1B9B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12 (6-23)</w:t>
            </w:r>
          </w:p>
        </w:tc>
      </w:tr>
      <w:tr w:rsidR="00AF25A2" w:rsidRPr="00D21478" w14:paraId="44D020B6" w14:textId="77777777" w:rsidTr="00CF6939">
        <w:trPr>
          <w:trHeight w:val="14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EA587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6-year OS, %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0F5FF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17 (11-28)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A27A8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3 (0-18)</w:t>
            </w:r>
          </w:p>
        </w:tc>
      </w:tr>
      <w:tr w:rsidR="00AF25A2" w:rsidRPr="00D21478" w14:paraId="37DD1755" w14:textId="77777777" w:rsidTr="00CF6939">
        <w:trPr>
          <w:trHeight w:val="14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3C74C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7-year OS, %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19F00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17 (11-28)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DAE85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F25A2" w:rsidRPr="00D21478" w14:paraId="7568E19D" w14:textId="77777777" w:rsidTr="00CF6939">
        <w:trPr>
          <w:trHeight w:val="144"/>
        </w:trPr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4EAD3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8-year OS, % (95% CI)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17D69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17 (11-28)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52067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53A427D7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1478">
        <w:rPr>
          <w:rFonts w:ascii="Times New Roman" w:hAnsi="Times New Roman" w:cs="Times New Roman"/>
          <w:sz w:val="20"/>
          <w:szCs w:val="20"/>
        </w:rPr>
        <w:br w:type="page"/>
      </w:r>
    </w:p>
    <w:p w14:paraId="5B993AD8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01E20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Figure 1</w:t>
      </w:r>
      <w:r w:rsidRPr="00D21478">
        <w:rPr>
          <w:rFonts w:ascii="Times New Roman" w:hAnsi="Times New Roman" w:cs="Times New Roman"/>
          <w:sz w:val="20"/>
          <w:szCs w:val="20"/>
        </w:rPr>
        <w:t xml:space="preserve">  Survival among patients surviving ≥2 years by TTFields therapy cohort</w:t>
      </w:r>
    </w:p>
    <w:p w14:paraId="20736536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147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9EAD29" wp14:editId="7E65CDFD">
            <wp:extent cx="5390707" cy="4811897"/>
            <wp:effectExtent l="0" t="0" r="635" b="8255"/>
            <wp:docPr id="19959578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476" cy="48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E7BF2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1478">
        <w:rPr>
          <w:rFonts w:ascii="Times New Roman" w:hAnsi="Times New Roman" w:cs="Times New Roman"/>
          <w:sz w:val="20"/>
          <w:szCs w:val="20"/>
        </w:rPr>
        <w:br w:type="page"/>
      </w:r>
    </w:p>
    <w:p w14:paraId="0EE5B6A7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01E20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Figure 2</w:t>
      </w:r>
      <w:r w:rsidRPr="00D21478">
        <w:rPr>
          <w:rFonts w:ascii="Times New Roman" w:hAnsi="Times New Roman" w:cs="Times New Roman"/>
          <w:sz w:val="20"/>
          <w:szCs w:val="20"/>
        </w:rPr>
        <w:t xml:space="preserve">  Duration of TTFields treatment as a function of device usage rate</w:t>
      </w:r>
    </w:p>
    <w:p w14:paraId="1D9CDFF0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647C7AA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147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9C69C8" wp14:editId="6592F5B2">
            <wp:extent cx="5105400" cy="3657600"/>
            <wp:effectExtent l="0" t="0" r="0" b="0"/>
            <wp:docPr id="11861789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3978E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99F169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8CF2648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1478">
        <w:rPr>
          <w:rFonts w:ascii="Times New Roman" w:hAnsi="Times New Roman" w:cs="Times New Roman"/>
          <w:sz w:val="20"/>
          <w:szCs w:val="20"/>
        </w:rPr>
        <w:br w:type="page"/>
      </w:r>
    </w:p>
    <w:p w14:paraId="2DFC6988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01E20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2</w:t>
      </w:r>
      <w:r w:rsidRPr="00D21478">
        <w:rPr>
          <w:rFonts w:ascii="Times New Roman" w:hAnsi="Times New Roman" w:cs="Times New Roman"/>
          <w:sz w:val="20"/>
          <w:szCs w:val="20"/>
        </w:rPr>
        <w:t xml:space="preserve"> Patient characteristics for ≥75% and &lt;75% usage cohorts, unmatched and matched datasets</w:t>
      </w:r>
    </w:p>
    <w:tbl>
      <w:tblPr>
        <w:tblW w:w="97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710"/>
        <w:gridCol w:w="94"/>
        <w:gridCol w:w="1805"/>
        <w:gridCol w:w="363"/>
        <w:gridCol w:w="1441"/>
        <w:gridCol w:w="1805"/>
      </w:tblGrid>
      <w:tr w:rsidR="00AF25A2" w:rsidRPr="00D21478" w14:paraId="77ABE82F" w14:textId="77777777" w:rsidTr="00CF6939">
        <w:trPr>
          <w:trHeight w:val="144"/>
        </w:trPr>
        <w:tc>
          <w:tcPr>
            <w:tcW w:w="25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943EC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F9372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Unmatched</w:t>
            </w:r>
          </w:p>
        </w:tc>
        <w:tc>
          <w:tcPr>
            <w:tcW w:w="360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846AA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Matched</w:t>
            </w:r>
          </w:p>
        </w:tc>
      </w:tr>
      <w:tr w:rsidR="00AF25A2" w:rsidRPr="00D21478" w14:paraId="415AE1B4" w14:textId="77777777" w:rsidTr="00CF6939">
        <w:trPr>
          <w:trHeight w:val="144"/>
        </w:trPr>
        <w:tc>
          <w:tcPr>
            <w:tcW w:w="25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F739A7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B88C5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≥75% usage</w:t>
            </w:r>
          </w:p>
          <w:p w14:paraId="3B6AC3E2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(n=46)</w:t>
            </w:r>
          </w:p>
        </w:tc>
        <w:tc>
          <w:tcPr>
            <w:tcW w:w="1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99889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&lt;75% usage</w:t>
            </w:r>
          </w:p>
          <w:p w14:paraId="618D74AB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(n=55)</w:t>
            </w:r>
          </w:p>
        </w:tc>
        <w:tc>
          <w:tcPr>
            <w:tcW w:w="18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1A71B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≥75% usage</w:t>
            </w:r>
          </w:p>
          <w:p w14:paraId="42346843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(n=34)</w:t>
            </w:r>
          </w:p>
        </w:tc>
        <w:tc>
          <w:tcPr>
            <w:tcW w:w="1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0A7AE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&lt;75% usage</w:t>
            </w:r>
          </w:p>
          <w:p w14:paraId="1B7DBA25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(n=34)</w:t>
            </w:r>
          </w:p>
        </w:tc>
      </w:tr>
      <w:tr w:rsidR="00AF25A2" w:rsidRPr="00D21478" w14:paraId="6D23DE35" w14:textId="77777777" w:rsidTr="00CF6939">
        <w:trPr>
          <w:trHeight w:val="144"/>
        </w:trPr>
        <w:tc>
          <w:tcPr>
            <w:tcW w:w="423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917C13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Age, y</w:t>
            </w:r>
          </w:p>
        </w:tc>
        <w:tc>
          <w:tcPr>
            <w:tcW w:w="226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51BBE5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A2159D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5A2" w:rsidRPr="00D21478" w14:paraId="41E9B36A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107D9C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Median (range)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F81F1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62 (37-84)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8E434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59 (27-85)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756B6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61 (37-75)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66A52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60 (27-74)</w:t>
            </w:r>
          </w:p>
        </w:tc>
      </w:tr>
      <w:tr w:rsidR="00AF25A2" w:rsidRPr="00D21478" w14:paraId="41C62163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94CB5D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A912B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FE50E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31A09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A9DD6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5A2" w:rsidRPr="00D21478" w14:paraId="072ED9D0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FBBC89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CD15A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19 (41)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82DA7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40 (73)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C5634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17 (50)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3F084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21 (62)</w:t>
            </w:r>
          </w:p>
        </w:tc>
      </w:tr>
      <w:tr w:rsidR="00AF25A2" w:rsidRPr="00D21478" w14:paraId="1DFDC599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66BC95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D6690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27 (59)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47242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15 (27)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046E9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17 (50)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D38ED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13 (38)</w:t>
            </w:r>
          </w:p>
        </w:tc>
      </w:tr>
      <w:tr w:rsidR="00AF25A2" w:rsidRPr="00D21478" w14:paraId="7F0DACF6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24ED5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Multifocal disease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E70976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 (4)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62C3AB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4 (7)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F93BC1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 (6)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7643A4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 (6)</w:t>
            </w:r>
          </w:p>
        </w:tc>
      </w:tr>
      <w:tr w:rsidR="00AF25A2" w:rsidRPr="00D21478" w14:paraId="0317CE74" w14:textId="77777777" w:rsidTr="00CF6939">
        <w:trPr>
          <w:trHeight w:val="144"/>
        </w:trPr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15706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IDH1 Status</w:t>
            </w:r>
          </w:p>
        </w:tc>
        <w:tc>
          <w:tcPr>
            <w:tcW w:w="2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44C30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B7A18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5A2" w:rsidRPr="00D21478" w14:paraId="0EC1EFC2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57E2A0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Mutated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DED98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0A60D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F25A6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444D8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AF25A2" w:rsidRPr="00D21478" w14:paraId="0388D312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179E6C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Wildtype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2570DF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46 (100)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67FA79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55 (100)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00B72A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34 (100)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7FC3D7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34 (100)</w:t>
            </w:r>
          </w:p>
        </w:tc>
      </w:tr>
      <w:tr w:rsidR="00AF25A2" w:rsidRPr="00D21478" w14:paraId="3B881AA6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16035A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54CE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15D1E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E3285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50470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AF25A2" w:rsidRPr="00D21478" w14:paraId="246D4936" w14:textId="77777777" w:rsidTr="00CF6939">
        <w:trPr>
          <w:trHeight w:val="144"/>
        </w:trPr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32399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MGMT promoter methylation status</w:t>
            </w:r>
          </w:p>
        </w:tc>
        <w:tc>
          <w:tcPr>
            <w:tcW w:w="2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9A7DC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95F63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5A2" w:rsidRPr="00D21478" w14:paraId="52D3525C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9E53FE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Methylated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08F3AA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14 (30)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78AA09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20 (36)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1FD69D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14 (41)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79197B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16 (47)</w:t>
            </w:r>
          </w:p>
        </w:tc>
      </w:tr>
      <w:tr w:rsidR="00AF25A2" w:rsidRPr="00D21478" w14:paraId="39FE3365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0B62A0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Unmethylated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34761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20 (43)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661102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23 (42)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A7391D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20 (59)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470100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18 (53)</w:t>
            </w:r>
          </w:p>
        </w:tc>
      </w:tr>
      <w:tr w:rsidR="00AF25A2" w:rsidRPr="00D21478" w14:paraId="162D8C24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066DB9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C4FB6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12 (26)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ADC79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13 (22)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68E23F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 (0)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BC985B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 (0)</w:t>
            </w:r>
          </w:p>
        </w:tc>
      </w:tr>
      <w:tr w:rsidR="00AF25A2" w:rsidRPr="00D21478" w14:paraId="2966BF9C" w14:textId="77777777" w:rsidTr="00CF6939">
        <w:trPr>
          <w:trHeight w:val="144"/>
        </w:trPr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65F394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Resection status</w:t>
            </w:r>
          </w:p>
        </w:tc>
        <w:tc>
          <w:tcPr>
            <w:tcW w:w="2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3E5EF1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CD05DC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5A2" w:rsidRPr="00D21478" w14:paraId="289B58C2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D192B8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Gross total resection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F68EE3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20 (43)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D45F7A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23 (42)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5F89F6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18 (53)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3C7684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17 (50)</w:t>
            </w:r>
          </w:p>
        </w:tc>
      </w:tr>
      <w:tr w:rsidR="00AF25A2" w:rsidRPr="00D21478" w14:paraId="26136299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A8C3CB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Sub-total resection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6C4139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19 (41)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0F18ED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27 (49)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3C012F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12 (35)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062DAF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14 (41)</w:t>
            </w:r>
          </w:p>
        </w:tc>
      </w:tr>
      <w:tr w:rsidR="00AF25A2" w:rsidRPr="00D21478" w14:paraId="7B426A5C" w14:textId="77777777" w:rsidTr="00CF6939">
        <w:trPr>
          <w:trHeight w:val="144"/>
        </w:trPr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BA611F" w14:textId="77777777" w:rsidR="00AF25A2" w:rsidRPr="00D21478" w:rsidRDefault="00AF25A2" w:rsidP="00CF69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sz w:val="20"/>
                <w:szCs w:val="20"/>
              </w:rPr>
              <w:t>Biopsy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2CBE6D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7 (15)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921F1B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 (9)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C041E6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4 (12)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ACEE64" w14:textId="77777777" w:rsidR="00AF25A2" w:rsidRPr="00D21478" w:rsidRDefault="00AF25A2" w:rsidP="00CF69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 (9)</w:t>
            </w:r>
          </w:p>
        </w:tc>
      </w:tr>
    </w:tbl>
    <w:p w14:paraId="3DF74B53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118B63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1478">
        <w:rPr>
          <w:rFonts w:ascii="Times New Roman" w:hAnsi="Times New Roman" w:cs="Times New Roman"/>
          <w:sz w:val="20"/>
          <w:szCs w:val="20"/>
        </w:rPr>
        <w:br w:type="page"/>
      </w:r>
    </w:p>
    <w:p w14:paraId="631D45CE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01E20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Figure 3</w:t>
      </w:r>
      <w:r w:rsidRPr="00D21478">
        <w:rPr>
          <w:rFonts w:ascii="Times New Roman" w:hAnsi="Times New Roman" w:cs="Times New Roman"/>
          <w:sz w:val="20"/>
          <w:szCs w:val="20"/>
        </w:rPr>
        <w:t xml:space="preserve">  Progression-free survival among TTFields-treated patients by device usage level</w:t>
      </w:r>
    </w:p>
    <w:p w14:paraId="750BDECD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147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1E897E9" wp14:editId="6318B536">
            <wp:extent cx="5935980" cy="2773680"/>
            <wp:effectExtent l="0" t="0" r="7620" b="7620"/>
            <wp:docPr id="17646693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F5F0C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29E43DF" w14:textId="77777777" w:rsidR="00AF25A2" w:rsidRPr="00D21478" w:rsidRDefault="00AF25A2" w:rsidP="00AF25A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B9C76B1" w14:textId="77777777" w:rsidR="005A7EEB" w:rsidRDefault="005A7EEB"/>
    <w:sectPr w:rsidR="005A7EEB" w:rsidSect="00AF25A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C437" w14:textId="77777777" w:rsidR="00000000" w:rsidRDefault="00000000">
    <w:pPr>
      <w:pStyle w:val="Footer"/>
      <w:jc w:val="right"/>
    </w:pPr>
    <w:sdt>
      <w:sdtPr>
        <w:id w:val="-8544176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B74D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B74D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B74D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5B74D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B74D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  <w:r>
      <w:rPr>
        <w:noProof/>
      </w:rPr>
      <w:t xml:space="preserve"> </w:t>
    </w:r>
  </w:p>
  <w:p w14:paraId="27304587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A2"/>
    <w:rsid w:val="005A7EEB"/>
    <w:rsid w:val="00AF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0C719"/>
  <w15:chartTrackingRefBased/>
  <w15:docId w15:val="{6860D833-522F-4E28-90FD-FEF449D8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5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F2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 Riegel</dc:creator>
  <cp:keywords/>
  <dc:description/>
  <cp:lastModifiedBy>Devon Riegel</cp:lastModifiedBy>
  <cp:revision>1</cp:revision>
  <dcterms:created xsi:type="dcterms:W3CDTF">2024-11-01T23:19:00Z</dcterms:created>
  <dcterms:modified xsi:type="dcterms:W3CDTF">2024-11-01T23:20:00Z</dcterms:modified>
</cp:coreProperties>
</file>