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EBD09" w14:textId="77777777" w:rsidR="00FA69AC" w:rsidRDefault="002D7CE9">
      <w:pPr>
        <w:pStyle w:val="Heading2"/>
      </w:pPr>
      <w:bookmarkStart w:id="0" w:name="supplementary-information"/>
      <w:bookmarkEnd w:id="0"/>
      <w:r>
        <w:t>Supplementary information </w:t>
      </w:r>
    </w:p>
    <w:p w14:paraId="2F06D12C" w14:textId="77777777" w:rsidR="00FA69AC" w:rsidRDefault="002D7CE9">
      <w:pPr>
        <w:pStyle w:val="FirstParagraph"/>
      </w:pPr>
      <w:r>
        <w:t>Hippocampal subfield volume across age, splitting by APOE status (Fig ???). In all subfields, APOE e3/e3 and e3/e4 carriers had high</w:t>
      </w:r>
      <w:r>
        <w:t>ly similar and overlapping trajectories in volume reductions over age. A sharp reduction in volume over age 65 in e4/4 carriers, is seen in the parasubiculum, the presubiculum and the subiculum head and body, and CA1 and CA3 head and CA4 body.</w:t>
      </w:r>
    </w:p>
    <w:p w14:paraId="339342BA" w14:textId="77777777" w:rsidR="00FA69AC" w:rsidRDefault="002D7CE9">
      <w:pPr>
        <w:pStyle w:val="FigurewithCaption"/>
      </w:pPr>
      <w:r>
        <w:rPr>
          <w:noProof/>
        </w:rPr>
        <w:drawing>
          <wp:inline distT="0" distB="0" distL="0" distR="0" wp14:anchorId="1B53CAD2" wp14:editId="78989B40">
            <wp:extent cx="3367071" cy="4177492"/>
            <wp:effectExtent l="0" t="0" r="0" b="0"/>
            <wp:docPr id="7" name="Picture" descr="Accelerated age-related volume loss in hippocampal subfields in APOE e4/e4 carriers relative to APOE e3/e4 and APOE e3/e3 carriers. 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s/Fig8-subAPOE/APOE-sub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71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73A6D3" w14:textId="77777777" w:rsidR="00FA69AC" w:rsidRDefault="002D7CE9">
      <w:pPr>
        <w:pStyle w:val="ImageCaption"/>
      </w:pPr>
      <w:r>
        <w:t xml:space="preserve">Accelerated age-related volume loss in hippocampal subfields in APOE e4/e4 carriers relative to APOE e3/e4 and APOE e3/e3 carriers.  </w:t>
      </w:r>
    </w:p>
    <w:p w14:paraId="76D3AA8A" w14:textId="77777777" w:rsidR="00FA69AC" w:rsidRDefault="002D7CE9">
      <w:pPr>
        <w:pStyle w:val="FigurewithCaption"/>
      </w:pPr>
      <w:r>
        <w:rPr>
          <w:noProof/>
        </w:rPr>
        <w:lastRenderedPageBreak/>
        <w:drawing>
          <wp:inline distT="0" distB="0" distL="0" distR="0" wp14:anchorId="1188D299" wp14:editId="4904043C">
            <wp:extent cx="2761549" cy="4177492"/>
            <wp:effectExtent l="0" t="0" r="0" b="0"/>
            <wp:docPr id="8" name="Picture" descr="Part A. Control brain regions areas do not show a clear APOE effect. Ratio of control brain regions to the rest of the grey matter. Significant differences between the curves at p&lt;.001 are shown per age window as grey horizontal bars.  continued in part B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s/Supp-Fig2-rat1/Supp-Fig2-rat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4271AF" w14:textId="77777777" w:rsidR="00FA69AC" w:rsidRDefault="002D7CE9">
      <w:pPr>
        <w:pStyle w:val="ImageCaption"/>
      </w:pPr>
      <w:r>
        <w:t xml:space="preserve">Part A. Control brain regions areas do not show a clear APOE effect. Ratio of control brain regions to the rest of the grey matter. Significant differences between the curves at p&lt;.001 are shown per age window as grey horizontal bars.  continued in part B </w:t>
      </w:r>
    </w:p>
    <w:p w14:paraId="5D1022A9" w14:textId="77777777" w:rsidR="00FA69AC" w:rsidRDefault="002D7CE9">
      <w:pPr>
        <w:pStyle w:val="FigurewithCaption"/>
      </w:pPr>
      <w:r>
        <w:rPr>
          <w:noProof/>
        </w:rPr>
        <w:lastRenderedPageBreak/>
        <w:drawing>
          <wp:inline distT="0" distB="0" distL="0" distR="0" wp14:anchorId="3A2344AB" wp14:editId="760E29E9">
            <wp:extent cx="2838004" cy="4177492"/>
            <wp:effectExtent l="0" t="0" r="0" b="0"/>
            <wp:docPr id="9" name="Picture" descr="Part B. Further control brain regions areas do not show a clear APOE effect. Ratio of control brain regions to the rest of the grey matter. Significant differences between the curves at p&lt;.001 are shown per age window as grey horizontal bars. 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s/Supp-Fig2-rat2/Supp-Fig2-rat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04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0E904D" w14:textId="77777777" w:rsidR="00FA69AC" w:rsidRDefault="002D7CE9">
      <w:pPr>
        <w:pStyle w:val="ImageCaption"/>
      </w:pPr>
      <w:r>
        <w:t xml:space="preserve">Part B. Further control brain regions areas do not show a clear APOE effect. Ratio of control brain regions to the rest of the grey matter. Significant differences between the curves at p&lt;.001 are shown per age window as grey horizontal bars.  </w:t>
      </w:r>
    </w:p>
    <w:p w14:paraId="7CC2AAD1" w14:textId="77777777" w:rsidR="00FA69AC" w:rsidRDefault="002D7CE9">
      <w:pPr>
        <w:pStyle w:val="FigurewithCaption"/>
      </w:pPr>
      <w:r>
        <w:rPr>
          <w:noProof/>
        </w:rPr>
        <w:lastRenderedPageBreak/>
        <w:drawing>
          <wp:inline distT="0" distB="0" distL="0" distR="0" wp14:anchorId="186ACF06" wp14:editId="5494EAED">
            <wp:extent cx="3143823" cy="4177492"/>
            <wp:effectExtent l="0" t="0" r="0" b="0"/>
            <wp:docPr id="10" name="Picture" descr="Part A. Volume of control brain areas declines linearly with age, with no clear APOE effect, with the exception of Amygdala. Continued in part B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s/Suppl-Fig3-vol1/Suppl-Fig3-vol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23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2013C1" w14:textId="77777777" w:rsidR="00FA69AC" w:rsidRDefault="002D7CE9">
      <w:pPr>
        <w:pStyle w:val="ImageCaption"/>
      </w:pPr>
      <w:r>
        <w:t>Part A</w:t>
      </w:r>
      <w:r>
        <w:t xml:space="preserve">. Volume of control brain areas declines linearly with age, with no clear APOE effect, with the exception of Amygdala. Continued in part B. </w:t>
      </w:r>
    </w:p>
    <w:p w14:paraId="10A2A876" w14:textId="77777777" w:rsidR="00FA69AC" w:rsidRDefault="002D7CE9">
      <w:pPr>
        <w:pStyle w:val="FigurewithCaption"/>
      </w:pPr>
      <w:r>
        <w:rPr>
          <w:noProof/>
        </w:rPr>
        <w:lastRenderedPageBreak/>
        <w:drawing>
          <wp:inline distT="0" distB="0" distL="0" distR="0" wp14:anchorId="70056674" wp14:editId="1A38609C">
            <wp:extent cx="3189696" cy="4177492"/>
            <wp:effectExtent l="0" t="0" r="0" b="0"/>
            <wp:docPr id="11" name="Picture" descr="Part B. Volume of further control brain areas declines linearly with age, with no clear APOE effect. 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figures/Suppl-Fig3-vol2/Suppl-Fig3-vol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96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56612" w14:textId="77777777" w:rsidR="00FA69AC" w:rsidRDefault="002D7CE9">
      <w:pPr>
        <w:pStyle w:val="ImageCaption"/>
      </w:pPr>
      <w:r>
        <w:t xml:space="preserve">Part B. Volume of further control brain areas declines linearly with age, with no clear APOE effect.  </w:t>
      </w:r>
    </w:p>
    <w:p w14:paraId="58F08ED0" w14:textId="2E5AF19F" w:rsidR="00FA69AC" w:rsidRDefault="00FA69AC">
      <w:pPr>
        <w:pStyle w:val="BodyText"/>
      </w:pPr>
      <w:bookmarkStart w:id="1" w:name="references"/>
      <w:bookmarkEnd w:id="1"/>
    </w:p>
    <w:sectPr w:rsidR="00FA69A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203D3" w14:textId="77777777" w:rsidR="002D7CE9" w:rsidRDefault="002D7CE9">
      <w:pPr>
        <w:spacing w:after="0"/>
      </w:pPr>
      <w:r>
        <w:separator/>
      </w:r>
    </w:p>
  </w:endnote>
  <w:endnote w:type="continuationSeparator" w:id="0">
    <w:p w14:paraId="549A895D" w14:textId="77777777" w:rsidR="002D7CE9" w:rsidRDefault="002D7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B64C6" w14:textId="77777777" w:rsidR="002D7CE9" w:rsidRDefault="002D7CE9">
      <w:r>
        <w:separator/>
      </w:r>
    </w:p>
  </w:footnote>
  <w:footnote w:type="continuationSeparator" w:id="0">
    <w:p w14:paraId="00309811" w14:textId="77777777" w:rsidR="002D7CE9" w:rsidRDefault="002D7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17F69BA"/>
    <w:multiLevelType w:val="multilevel"/>
    <w:tmpl w:val="7924CE9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8C4D1ED"/>
    <w:multiLevelType w:val="multilevel"/>
    <w:tmpl w:val="04D0FE7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161EF9"/>
    <w:rsid w:val="002D7CE9"/>
    <w:rsid w:val="004E29B3"/>
    <w:rsid w:val="00590D07"/>
    <w:rsid w:val="00784D58"/>
    <w:rsid w:val="008D6863"/>
    <w:rsid w:val="00B86B75"/>
    <w:rsid w:val="00BC48D5"/>
    <w:rsid w:val="00C36279"/>
    <w:rsid w:val="00E315A3"/>
    <w:rsid w:val="00FA69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63C74"/>
  <w15:docId w15:val="{8B817AEA-341E-48B8-9C1F-3CE648AA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human hippocampus and its subfield volume across age, sex and APOE e4 status  </dc:title>
  <dc:creator>Michele Veldsman; Lisa Nobis; Fidel Alfaro-Almagro; Sanjay Manohar; Masud Husain</dc:creator>
  <cp:lastModifiedBy>Megan Cerino</cp:lastModifiedBy>
  <cp:revision>2</cp:revision>
  <dcterms:created xsi:type="dcterms:W3CDTF">2020-08-14T18:58:00Z</dcterms:created>
  <dcterms:modified xsi:type="dcterms:W3CDTF">2020-08-14T18:58:00Z</dcterms:modified>
</cp:coreProperties>
</file>