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AE47C" w14:textId="77777777" w:rsidR="00500ACE" w:rsidRDefault="00500ACE" w:rsidP="00500ACE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ACE">
        <w:rPr>
          <w:rFonts w:ascii="Times New Roman" w:eastAsia="Times New Roman" w:hAnsi="Times New Roman" w:cs="Times New Roman"/>
          <w:b/>
          <w:sz w:val="24"/>
          <w:szCs w:val="24"/>
        </w:rPr>
        <w:t>Changes in the phyllosphere and rhizosphere of a cloud forest tree fern along an elevation gradient</w:t>
      </w:r>
    </w:p>
    <w:p w14:paraId="543E8BDA" w14:textId="5EC923AF" w:rsidR="0007691B" w:rsidRPr="00500ACE" w:rsidRDefault="0007691B" w:rsidP="0007691B">
      <w:pPr>
        <w:spacing w:after="240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s-CO"/>
        </w:rPr>
      </w:pPr>
      <w:proofErr w:type="spellStart"/>
      <w:r w:rsidRPr="00500ACE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Authors</w:t>
      </w:r>
      <w:proofErr w:type="spellEnd"/>
      <w:r w:rsidRPr="00500ACE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:</w:t>
      </w:r>
      <w:r w:rsidRPr="00500ACE">
        <w:rPr>
          <w:rFonts w:ascii="Times New Roman" w:eastAsia="Times New Roman" w:hAnsi="Times New Roman" w:cs="Times New Roman"/>
          <w:bCs/>
          <w:sz w:val="24"/>
          <w:szCs w:val="24"/>
          <w:lang w:val="es-CO"/>
        </w:rPr>
        <w:t xml:space="preserve"> Mariana Vélez-Múnera¹, Morena Avitia², Eria A. Rebollar³, Santiago Ramírez-Barahona</w:t>
      </w:r>
      <w:r w:rsidRPr="00500AC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s-CO"/>
        </w:rPr>
        <w:t>1</w:t>
      </w:r>
    </w:p>
    <w:p w14:paraId="7E88139E" w14:textId="77777777" w:rsidR="0007691B" w:rsidRPr="00AF2086" w:rsidRDefault="0007691B" w:rsidP="0007691B">
      <w:pPr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CO"/>
        </w:rPr>
      </w:pPr>
      <w:proofErr w:type="spellStart"/>
      <w:r w:rsidRPr="00AF208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>Affiliations</w:t>
      </w:r>
      <w:proofErr w:type="spellEnd"/>
      <w:r w:rsidRPr="00AF2086">
        <w:rPr>
          <w:rFonts w:ascii="Times New Roman" w:eastAsia="Times New Roman" w:hAnsi="Times New Roman" w:cs="Times New Roman"/>
          <w:b/>
          <w:sz w:val="24"/>
          <w:szCs w:val="24"/>
          <w:lang w:val="es-CO"/>
        </w:rPr>
        <w:t xml:space="preserve">: </w:t>
      </w:r>
    </w:p>
    <w:p w14:paraId="4565840B" w14:textId="77777777" w:rsidR="0007691B" w:rsidRPr="00AF2086" w:rsidRDefault="0007691B" w:rsidP="0007691B">
      <w:pPr>
        <w:spacing w:after="2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CO"/>
        </w:rPr>
      </w:pPr>
      <w:r w:rsidRPr="00AF208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s-CO"/>
        </w:rPr>
        <w:t>1</w:t>
      </w:r>
      <w:r w:rsidRPr="00AF2086">
        <w:rPr>
          <w:rFonts w:ascii="Times New Roman" w:eastAsia="Times New Roman" w:hAnsi="Times New Roman" w:cs="Times New Roman"/>
          <w:bCs/>
          <w:sz w:val="24"/>
          <w:szCs w:val="24"/>
          <w:lang w:val="es-CO"/>
        </w:rPr>
        <w:t>Departamento de Botánica, Instituto de Biología, Universidad Nacional Autónoma de México, Ciudad de México, México</w:t>
      </w:r>
    </w:p>
    <w:p w14:paraId="62876659" w14:textId="77777777" w:rsidR="0007691B" w:rsidRPr="00AF2086" w:rsidRDefault="0007691B" w:rsidP="0007691B">
      <w:pPr>
        <w:spacing w:after="2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CO"/>
        </w:rPr>
      </w:pPr>
      <w:r w:rsidRPr="00AF208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s-CO"/>
        </w:rPr>
        <w:t xml:space="preserve">2 </w:t>
      </w:r>
      <w:r w:rsidRPr="00AF2086">
        <w:rPr>
          <w:rFonts w:ascii="Times New Roman" w:eastAsia="Times New Roman" w:hAnsi="Times New Roman" w:cs="Times New Roman"/>
          <w:bCs/>
          <w:sz w:val="24"/>
          <w:szCs w:val="24"/>
          <w:lang w:val="es-CO"/>
        </w:rPr>
        <w:t>Laboratorio Nacional de Ciencias de la Sostenibilidad (LANCIS), Instituto de Ecología, Universidad Nacional Autónoma de México, Ciudad de México, México</w:t>
      </w:r>
    </w:p>
    <w:p w14:paraId="4BCAA06B" w14:textId="50CC692C" w:rsidR="0007691B" w:rsidRPr="00500ACE" w:rsidRDefault="0007691B" w:rsidP="00500ACE">
      <w:pPr>
        <w:spacing w:after="2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CO"/>
        </w:rPr>
      </w:pPr>
      <w:r w:rsidRPr="00AF2086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s-CO"/>
        </w:rPr>
        <w:t>3</w:t>
      </w:r>
      <w:r w:rsidRPr="00AF2086">
        <w:rPr>
          <w:rFonts w:ascii="Times New Roman" w:eastAsia="Times New Roman" w:hAnsi="Times New Roman" w:cs="Times New Roman"/>
          <w:bCs/>
          <w:sz w:val="24"/>
          <w:szCs w:val="24"/>
          <w:lang w:val="es-CO"/>
        </w:rPr>
        <w:t xml:space="preserve"> Centro de Ciencias Genómicas, Universidad Nacional Autónoma de México, Cuernavaca, Morelos, México</w:t>
      </w:r>
    </w:p>
    <w:p w14:paraId="57C5EFD0" w14:textId="3C380319" w:rsidR="002446E4" w:rsidRPr="008A66B3" w:rsidRDefault="00000000" w:rsidP="0007691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6B3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</w:t>
      </w:r>
      <w:r w:rsidR="00500ACE">
        <w:rPr>
          <w:rFonts w:ascii="Times New Roman" w:eastAsia="Times New Roman" w:hAnsi="Times New Roman" w:cs="Times New Roman"/>
          <w:b/>
          <w:sz w:val="24"/>
          <w:szCs w:val="24"/>
        </w:rPr>
        <w:t xml:space="preserve">material </w:t>
      </w:r>
    </w:p>
    <w:p w14:paraId="497234D1" w14:textId="77777777" w:rsidR="0007691B" w:rsidRPr="008A66B3" w:rsidRDefault="0007691B" w:rsidP="008A66B3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C38E17" w14:textId="31EDE0B3" w:rsidR="0007691B" w:rsidRPr="008A66B3" w:rsidRDefault="0007691B" w:rsidP="008A66B3">
      <w:pPr>
        <w:pStyle w:val="Prrafodelista"/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6B3">
        <w:rPr>
          <w:rFonts w:ascii="Times New Roman" w:eastAsia="Times New Roman" w:hAnsi="Times New Roman" w:cs="Times New Roman"/>
          <w:b/>
          <w:sz w:val="24"/>
          <w:szCs w:val="24"/>
        </w:rPr>
        <w:t>Supplementary tables</w:t>
      </w:r>
    </w:p>
    <w:p w14:paraId="71F71E63" w14:textId="62E14208" w:rsidR="00500ACE" w:rsidRDefault="0007691B" w:rsidP="00500ACE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8A66B3">
        <w:rPr>
          <w:rFonts w:ascii="Times New Roman" w:eastAsia="Times New Roman" w:hAnsi="Times New Roman" w:cs="Times New Roman"/>
          <w:b/>
          <w:sz w:val="24"/>
          <w:szCs w:val="24"/>
        </w:rPr>
        <w:t xml:space="preserve">Table S1. </w:t>
      </w:r>
      <w:proofErr w:type="gramStart"/>
      <w:r w:rsidR="0093010F"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gramEnd"/>
      <w:r w:rsidR="00500ACE">
        <w:rPr>
          <w:rFonts w:ascii="Times New Roman" w:eastAsia="Times New Roman" w:hAnsi="Times New Roman" w:cs="Times New Roman"/>
          <w:sz w:val="24"/>
          <w:szCs w:val="24"/>
        </w:rPr>
        <w:t xml:space="preserve"> of samples used in the analysis by sample type and microbial community.</w:t>
      </w:r>
    </w:p>
    <w:p w14:paraId="1175161B" w14:textId="193524D9" w:rsidR="0007691B" w:rsidRPr="00500ACE" w:rsidRDefault="0007691B" w:rsidP="00500ACE">
      <w:pPr>
        <w:pStyle w:val="Prrafodelista"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500ACE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figures</w:t>
      </w:r>
    </w:p>
    <w:p w14:paraId="4BF99601" w14:textId="7B7F1212" w:rsidR="0007691B" w:rsidRPr="008A66B3" w:rsidRDefault="0007691B" w:rsidP="008A66B3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8A66B3">
        <w:rPr>
          <w:rFonts w:ascii="Times New Roman" w:eastAsia="Times New Roman" w:hAnsi="Times New Roman" w:cs="Times New Roman"/>
          <w:b/>
          <w:sz w:val="24"/>
          <w:szCs w:val="24"/>
        </w:rPr>
        <w:t>Fig. S1</w:t>
      </w:r>
      <w:r w:rsidRPr="008A66B3">
        <w:rPr>
          <w:rFonts w:ascii="Times New Roman" w:eastAsia="Times New Roman" w:hAnsi="Times New Roman" w:cs="Times New Roman"/>
          <w:sz w:val="24"/>
          <w:szCs w:val="24"/>
        </w:rPr>
        <w:t xml:space="preserve"> Principal Coordinate Analysis (</w:t>
      </w:r>
      <w:proofErr w:type="spellStart"/>
      <w:r w:rsidRPr="008A66B3">
        <w:rPr>
          <w:rFonts w:ascii="Times New Roman" w:eastAsia="Times New Roman" w:hAnsi="Times New Roman" w:cs="Times New Roman"/>
          <w:sz w:val="24"/>
          <w:szCs w:val="24"/>
        </w:rPr>
        <w:t>PCoA</w:t>
      </w:r>
      <w:proofErr w:type="spellEnd"/>
      <w:r w:rsidRPr="008A66B3">
        <w:rPr>
          <w:rFonts w:ascii="Times New Roman" w:eastAsia="Times New Roman" w:hAnsi="Times New Roman" w:cs="Times New Roman"/>
          <w:sz w:val="24"/>
          <w:szCs w:val="24"/>
        </w:rPr>
        <w:t xml:space="preserve">) of bacterial and fungal communities of the tree fern </w:t>
      </w:r>
      <w:r w:rsidRPr="008A66B3">
        <w:rPr>
          <w:rFonts w:ascii="Times New Roman" w:eastAsia="Times New Roman" w:hAnsi="Times New Roman" w:cs="Times New Roman"/>
          <w:i/>
          <w:sz w:val="24"/>
          <w:szCs w:val="24"/>
        </w:rPr>
        <w:t>Cyathea fulva</w:t>
      </w:r>
      <w:r w:rsidRPr="008A66B3">
        <w:rPr>
          <w:rFonts w:ascii="Times New Roman" w:eastAsia="Times New Roman" w:hAnsi="Times New Roman" w:cs="Times New Roman"/>
          <w:sz w:val="24"/>
          <w:szCs w:val="24"/>
        </w:rPr>
        <w:t xml:space="preserve"> across elevation.</w:t>
      </w:r>
    </w:p>
    <w:p w14:paraId="189F36A4" w14:textId="2F0001C1" w:rsidR="0007691B" w:rsidRPr="008A66B3" w:rsidRDefault="0007691B" w:rsidP="008A66B3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8A66B3">
        <w:rPr>
          <w:rFonts w:ascii="Times New Roman" w:eastAsia="Times New Roman" w:hAnsi="Times New Roman" w:cs="Times New Roman"/>
          <w:b/>
          <w:sz w:val="24"/>
          <w:szCs w:val="24"/>
        </w:rPr>
        <w:t>Fig. S2</w:t>
      </w:r>
      <w:r w:rsidRPr="008A66B3">
        <w:rPr>
          <w:rFonts w:ascii="Times New Roman" w:eastAsia="Times New Roman" w:hAnsi="Times New Roman" w:cs="Times New Roman"/>
          <w:sz w:val="24"/>
          <w:szCs w:val="24"/>
        </w:rPr>
        <w:t xml:space="preserve"> Venn diagrams of shared and unique bacterial and fungal genera in the microbiome of the tree fern </w:t>
      </w:r>
      <w:r w:rsidRPr="008A66B3">
        <w:rPr>
          <w:rFonts w:ascii="Times New Roman" w:eastAsia="Times New Roman" w:hAnsi="Times New Roman" w:cs="Times New Roman"/>
          <w:i/>
          <w:sz w:val="24"/>
          <w:szCs w:val="24"/>
        </w:rPr>
        <w:t>Cyathea fulva</w:t>
      </w:r>
      <w:r w:rsidRPr="008A66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A66B3">
        <w:rPr>
          <w:rFonts w:ascii="Times New Roman" w:eastAsia="Times New Roman" w:hAnsi="Times New Roman" w:cs="Times New Roman"/>
          <w:sz w:val="24"/>
          <w:szCs w:val="24"/>
        </w:rPr>
        <w:t>Cyatheaceae</w:t>
      </w:r>
      <w:proofErr w:type="spellEnd"/>
      <w:r w:rsidRPr="008A66B3">
        <w:rPr>
          <w:rFonts w:ascii="Times New Roman" w:eastAsia="Times New Roman" w:hAnsi="Times New Roman" w:cs="Times New Roman"/>
          <w:sz w:val="24"/>
          <w:szCs w:val="24"/>
        </w:rPr>
        <w:t>) by sample type.</w:t>
      </w:r>
    </w:p>
    <w:p w14:paraId="793D41C4" w14:textId="78272128" w:rsidR="0007691B" w:rsidRPr="008A66B3" w:rsidRDefault="0007691B" w:rsidP="008A66B3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8A66B3">
        <w:rPr>
          <w:rFonts w:ascii="Times New Roman" w:eastAsia="Times New Roman" w:hAnsi="Times New Roman" w:cs="Times New Roman"/>
          <w:b/>
          <w:sz w:val="24"/>
          <w:szCs w:val="24"/>
        </w:rPr>
        <w:t>Fig. S3</w:t>
      </w:r>
      <w:r w:rsidRPr="008A66B3">
        <w:rPr>
          <w:rFonts w:ascii="Times New Roman" w:eastAsia="Times New Roman" w:hAnsi="Times New Roman" w:cs="Times New Roman"/>
          <w:bCs/>
          <w:sz w:val="24"/>
          <w:szCs w:val="24"/>
        </w:rPr>
        <w:t xml:space="preserve"> Changes in measured environmental variables across elevation plots.</w:t>
      </w:r>
      <w:r w:rsidRPr="008A66B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0EAF491F" w14:textId="77777777" w:rsidR="0007691B" w:rsidRPr="008A66B3" w:rsidRDefault="0007691B" w:rsidP="0007691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2126B" w14:textId="3BA96345" w:rsidR="00500ACE" w:rsidRPr="008A66B3" w:rsidRDefault="008A66B3" w:rsidP="00500ACE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6B3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</w:t>
      </w:r>
      <w:r w:rsidR="00500ACE">
        <w:rPr>
          <w:rFonts w:ascii="Times New Roman" w:eastAsia="Times New Roman" w:hAnsi="Times New Roman" w:cs="Times New Roman"/>
          <w:b/>
          <w:sz w:val="24"/>
          <w:szCs w:val="24"/>
        </w:rPr>
        <w:t xml:space="preserve">data </w:t>
      </w:r>
    </w:p>
    <w:p w14:paraId="73CFE6B3" w14:textId="7D7DA3AB" w:rsidR="008A66B3" w:rsidRDefault="00500ACE" w:rsidP="008A66B3">
      <w:pPr>
        <w:spacing w:after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data 1.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Metadata to bacterial samples, including information about the host individual, number of reads per sample and Shannon Index per sample. </w:t>
      </w:r>
    </w:p>
    <w:p w14:paraId="263F278D" w14:textId="45D99DC5" w:rsidR="00500ACE" w:rsidRDefault="00500ACE" w:rsidP="008A66B3">
      <w:pPr>
        <w:spacing w:after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0ACE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data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00AC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500ACE">
        <w:rPr>
          <w:rFonts w:ascii="Times New Roman" w:eastAsia="Times New Roman" w:hAnsi="Times New Roman" w:cs="Times New Roman"/>
          <w:bCs/>
          <w:sz w:val="24"/>
          <w:szCs w:val="24"/>
        </w:rPr>
        <w:t xml:space="preserve">Metadata to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fungal</w:t>
      </w:r>
      <w:r w:rsidRPr="00500ACE">
        <w:rPr>
          <w:rFonts w:ascii="Times New Roman" w:eastAsia="Times New Roman" w:hAnsi="Times New Roman" w:cs="Times New Roman"/>
          <w:bCs/>
          <w:sz w:val="24"/>
          <w:szCs w:val="24"/>
        </w:rPr>
        <w:t xml:space="preserve"> samples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00ACE">
        <w:rPr>
          <w:rFonts w:ascii="Times New Roman" w:eastAsia="Times New Roman" w:hAnsi="Times New Roman" w:cs="Times New Roman"/>
          <w:bCs/>
          <w:sz w:val="24"/>
          <w:szCs w:val="24"/>
        </w:rPr>
        <w:t>including information about the host individual, number of reads per sample and Shannon Index per sample.</w:t>
      </w:r>
    </w:p>
    <w:p w14:paraId="5F8DE19E" w14:textId="58A71249" w:rsidR="002446E4" w:rsidRPr="0093010F" w:rsidRDefault="00500ACE" w:rsidP="0093010F">
      <w:pPr>
        <w:spacing w:after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data 3.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Taxonomy of the core microbial communities by sample type. </w:t>
      </w:r>
    </w:p>
    <w:p w14:paraId="0BCD5C37" w14:textId="6808A6B7" w:rsidR="008A66B3" w:rsidRPr="008A66B3" w:rsidRDefault="0093010F" w:rsidP="0093010F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Supplementary materials</w:t>
      </w:r>
    </w:p>
    <w:p w14:paraId="14F9488A" w14:textId="57B594A8" w:rsidR="008A66B3" w:rsidRDefault="008A66B3" w:rsidP="0093010F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6B3">
        <w:rPr>
          <w:rFonts w:ascii="Times New Roman" w:eastAsia="Times New Roman" w:hAnsi="Times New Roman" w:cs="Times New Roman"/>
          <w:b/>
          <w:sz w:val="24"/>
          <w:szCs w:val="24"/>
        </w:rPr>
        <w:t>Supplementary tables</w:t>
      </w:r>
    </w:p>
    <w:p w14:paraId="3A1E327E" w14:textId="3383E29E" w:rsidR="0093010F" w:rsidRDefault="0093010F" w:rsidP="0093010F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66B3">
        <w:rPr>
          <w:rFonts w:ascii="Times New Roman" w:eastAsia="Times New Roman" w:hAnsi="Times New Roman" w:cs="Times New Roman"/>
          <w:b/>
          <w:sz w:val="24"/>
          <w:szCs w:val="24"/>
        </w:rPr>
        <w:t xml:space="preserve">Table S1.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samples used in the analysis by sample type and microbial community.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3010F" w14:paraId="2CFFC4BF" w14:textId="77777777" w:rsidTr="001F389E">
        <w:tc>
          <w:tcPr>
            <w:tcW w:w="2337" w:type="dxa"/>
          </w:tcPr>
          <w:p w14:paraId="28575B37" w14:textId="06D07DCB" w:rsidR="0093010F" w:rsidRDefault="0093010F" w:rsidP="001F389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A5317AF" w14:textId="25EFDF3E" w:rsidR="0093010F" w:rsidRPr="001F389E" w:rsidRDefault="0093010F" w:rsidP="001F389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3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Bacteria</w:t>
            </w:r>
          </w:p>
        </w:tc>
        <w:tc>
          <w:tcPr>
            <w:tcW w:w="2338" w:type="dxa"/>
          </w:tcPr>
          <w:p w14:paraId="20C07216" w14:textId="35D8D893" w:rsidR="0093010F" w:rsidRPr="001F389E" w:rsidRDefault="0093010F" w:rsidP="001F389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3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Fungi</w:t>
            </w:r>
          </w:p>
        </w:tc>
        <w:tc>
          <w:tcPr>
            <w:tcW w:w="2338" w:type="dxa"/>
          </w:tcPr>
          <w:p w14:paraId="11E583D9" w14:textId="10135867" w:rsidR="0093010F" w:rsidRPr="001F389E" w:rsidRDefault="0093010F" w:rsidP="001F389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3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93010F" w14:paraId="78CC16CB" w14:textId="77777777" w:rsidTr="001F389E">
        <w:tc>
          <w:tcPr>
            <w:tcW w:w="2337" w:type="dxa"/>
          </w:tcPr>
          <w:p w14:paraId="6B2B8D9B" w14:textId="2D4F8CED" w:rsidR="0093010F" w:rsidRPr="001F389E" w:rsidRDefault="0093010F" w:rsidP="001F389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3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Phyllosphere</w:t>
            </w:r>
          </w:p>
        </w:tc>
        <w:tc>
          <w:tcPr>
            <w:tcW w:w="2337" w:type="dxa"/>
          </w:tcPr>
          <w:p w14:paraId="00E45252" w14:textId="2FE67D03" w:rsidR="0093010F" w:rsidRDefault="0093010F" w:rsidP="001F389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8" w:type="dxa"/>
          </w:tcPr>
          <w:p w14:paraId="5236D38D" w14:textId="7026ED4C" w:rsidR="0093010F" w:rsidRDefault="0093010F" w:rsidP="001F389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8" w:type="dxa"/>
          </w:tcPr>
          <w:p w14:paraId="1C5EB82B" w14:textId="2CE78FE7" w:rsidR="0093010F" w:rsidRDefault="0093010F" w:rsidP="001F389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3010F" w14:paraId="64619642" w14:textId="77777777" w:rsidTr="001F389E">
        <w:tc>
          <w:tcPr>
            <w:tcW w:w="2337" w:type="dxa"/>
          </w:tcPr>
          <w:p w14:paraId="48936D65" w14:textId="11674774" w:rsidR="0093010F" w:rsidRPr="001F389E" w:rsidRDefault="0093010F" w:rsidP="001F389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3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Rhizosphere</w:t>
            </w:r>
          </w:p>
        </w:tc>
        <w:tc>
          <w:tcPr>
            <w:tcW w:w="2337" w:type="dxa"/>
          </w:tcPr>
          <w:p w14:paraId="5AD89B13" w14:textId="6F127F08" w:rsidR="0093010F" w:rsidRDefault="0093010F" w:rsidP="001F389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8" w:type="dxa"/>
          </w:tcPr>
          <w:p w14:paraId="42C20A82" w14:textId="298A1C8B" w:rsidR="0093010F" w:rsidRDefault="0093010F" w:rsidP="001F389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8" w:type="dxa"/>
          </w:tcPr>
          <w:p w14:paraId="2919F891" w14:textId="6BE1A275" w:rsidR="0093010F" w:rsidRDefault="0093010F" w:rsidP="001F389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3010F" w14:paraId="4D8DFBFF" w14:textId="77777777" w:rsidTr="001F389E">
        <w:tc>
          <w:tcPr>
            <w:tcW w:w="2337" w:type="dxa"/>
          </w:tcPr>
          <w:p w14:paraId="0ECE5C0A" w14:textId="4F01EF26" w:rsidR="0093010F" w:rsidRPr="001F389E" w:rsidRDefault="0093010F" w:rsidP="001F389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3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Soil</w:t>
            </w:r>
          </w:p>
        </w:tc>
        <w:tc>
          <w:tcPr>
            <w:tcW w:w="2337" w:type="dxa"/>
          </w:tcPr>
          <w:p w14:paraId="1DAD9AFD" w14:textId="4A225DB0" w:rsidR="0093010F" w:rsidRDefault="0093010F" w:rsidP="001F389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14:paraId="281FADF5" w14:textId="2370F418" w:rsidR="0093010F" w:rsidRDefault="0093010F" w:rsidP="001F389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8" w:type="dxa"/>
          </w:tcPr>
          <w:p w14:paraId="626165DF" w14:textId="202C938D" w:rsidR="0093010F" w:rsidRDefault="0093010F" w:rsidP="001F389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010F" w14:paraId="0F421628" w14:textId="77777777" w:rsidTr="001F389E">
        <w:tc>
          <w:tcPr>
            <w:tcW w:w="2337" w:type="dxa"/>
          </w:tcPr>
          <w:p w14:paraId="5B093343" w14:textId="6FC593EF" w:rsidR="0093010F" w:rsidRPr="001F389E" w:rsidRDefault="0093010F" w:rsidP="001F389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3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37" w:type="dxa"/>
          </w:tcPr>
          <w:p w14:paraId="0B007213" w14:textId="58F0BFD7" w:rsidR="0093010F" w:rsidRDefault="0093010F" w:rsidP="001F389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38" w:type="dxa"/>
          </w:tcPr>
          <w:p w14:paraId="2B25097D" w14:textId="3D9DDF68" w:rsidR="0093010F" w:rsidRDefault="0093010F" w:rsidP="001F389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38" w:type="dxa"/>
          </w:tcPr>
          <w:p w14:paraId="46E9B7EF" w14:textId="4A36C664" w:rsidR="0093010F" w:rsidRDefault="001F389E" w:rsidP="001F389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14:paraId="4F0B3284" w14:textId="77777777" w:rsidR="0093010F" w:rsidRPr="008A66B3" w:rsidRDefault="0093010F" w:rsidP="001F389E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237ADA" w14:textId="77777777" w:rsidR="002446E4" w:rsidRPr="008A66B3" w:rsidRDefault="002446E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7A935B" w14:textId="1DDB54F0" w:rsidR="008A66B3" w:rsidRPr="008A66B3" w:rsidRDefault="008A66B3" w:rsidP="008A66B3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6B3">
        <w:rPr>
          <w:rFonts w:ascii="Times New Roman" w:eastAsia="Times New Roman" w:hAnsi="Times New Roman" w:cs="Times New Roman"/>
          <w:b/>
          <w:sz w:val="24"/>
          <w:szCs w:val="24"/>
        </w:rPr>
        <w:t>Supplementary figures</w:t>
      </w:r>
    </w:p>
    <w:p w14:paraId="142CCF9F" w14:textId="77777777" w:rsidR="002446E4" w:rsidRPr="008A66B3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6B3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11760A81" wp14:editId="787DB128">
            <wp:extent cx="5943600" cy="3441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25B2BF" w14:textId="77777777" w:rsidR="002446E4" w:rsidRPr="008A66B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6B3">
        <w:rPr>
          <w:rFonts w:ascii="Times New Roman" w:eastAsia="Times New Roman" w:hAnsi="Times New Roman" w:cs="Times New Roman"/>
          <w:b/>
          <w:sz w:val="24"/>
          <w:szCs w:val="24"/>
        </w:rPr>
        <w:t>Fig. S1</w:t>
      </w:r>
      <w:r w:rsidRPr="008A66B3">
        <w:rPr>
          <w:rFonts w:ascii="Times New Roman" w:eastAsia="Times New Roman" w:hAnsi="Times New Roman" w:cs="Times New Roman"/>
          <w:sz w:val="24"/>
          <w:szCs w:val="24"/>
        </w:rPr>
        <w:t xml:space="preserve"> Principal Coordinate Analysis (</w:t>
      </w:r>
      <w:proofErr w:type="spellStart"/>
      <w:r w:rsidRPr="008A66B3">
        <w:rPr>
          <w:rFonts w:ascii="Times New Roman" w:eastAsia="Times New Roman" w:hAnsi="Times New Roman" w:cs="Times New Roman"/>
          <w:sz w:val="24"/>
          <w:szCs w:val="24"/>
        </w:rPr>
        <w:t>PCoA</w:t>
      </w:r>
      <w:proofErr w:type="spellEnd"/>
      <w:r w:rsidRPr="008A66B3">
        <w:rPr>
          <w:rFonts w:ascii="Times New Roman" w:eastAsia="Times New Roman" w:hAnsi="Times New Roman" w:cs="Times New Roman"/>
          <w:sz w:val="24"/>
          <w:szCs w:val="24"/>
        </w:rPr>
        <w:t xml:space="preserve">) of bacterial and fungal communities of the tree fern </w:t>
      </w:r>
      <w:r w:rsidRPr="008A66B3">
        <w:rPr>
          <w:rFonts w:ascii="Times New Roman" w:eastAsia="Times New Roman" w:hAnsi="Times New Roman" w:cs="Times New Roman"/>
          <w:i/>
          <w:sz w:val="24"/>
          <w:szCs w:val="24"/>
        </w:rPr>
        <w:t>Cyathea fulva</w:t>
      </w:r>
      <w:r w:rsidRPr="008A66B3">
        <w:rPr>
          <w:rFonts w:ascii="Times New Roman" w:eastAsia="Times New Roman" w:hAnsi="Times New Roman" w:cs="Times New Roman"/>
          <w:sz w:val="24"/>
          <w:szCs w:val="24"/>
        </w:rPr>
        <w:t xml:space="preserve"> across elevation. Ordination of pairwise community dissimilarities for bacteria (a, b) and fungi (c, d) based on Unweighted </w:t>
      </w:r>
      <w:proofErr w:type="spellStart"/>
      <w:r w:rsidRPr="008A66B3">
        <w:rPr>
          <w:rFonts w:ascii="Times New Roman" w:eastAsia="Times New Roman" w:hAnsi="Times New Roman" w:cs="Times New Roman"/>
          <w:sz w:val="24"/>
          <w:szCs w:val="24"/>
        </w:rPr>
        <w:t>UniFrac</w:t>
      </w:r>
      <w:proofErr w:type="spellEnd"/>
      <w:r w:rsidRPr="008A66B3">
        <w:rPr>
          <w:rFonts w:ascii="Times New Roman" w:eastAsia="Times New Roman" w:hAnsi="Times New Roman" w:cs="Times New Roman"/>
          <w:sz w:val="24"/>
          <w:szCs w:val="24"/>
        </w:rPr>
        <w:t xml:space="preserve"> distances for the phyllosphere (a, c) and the rhizosphere (b, d). Percentage variation explained by each </w:t>
      </w:r>
      <w:proofErr w:type="spellStart"/>
      <w:r w:rsidRPr="008A66B3">
        <w:rPr>
          <w:rFonts w:ascii="Times New Roman" w:eastAsia="Times New Roman" w:hAnsi="Times New Roman" w:cs="Times New Roman"/>
          <w:sz w:val="24"/>
          <w:szCs w:val="24"/>
        </w:rPr>
        <w:t>PCoA</w:t>
      </w:r>
      <w:proofErr w:type="spellEnd"/>
      <w:r w:rsidRPr="008A66B3">
        <w:rPr>
          <w:rFonts w:ascii="Times New Roman" w:eastAsia="Times New Roman" w:hAnsi="Times New Roman" w:cs="Times New Roman"/>
          <w:sz w:val="24"/>
          <w:szCs w:val="24"/>
        </w:rPr>
        <w:t xml:space="preserve"> is indicated on the axes. Colors indicate different elevations (</w:t>
      </w:r>
      <w:proofErr w:type="spellStart"/>
      <w:r w:rsidRPr="008A66B3">
        <w:rPr>
          <w:rFonts w:ascii="Times New Roman" w:eastAsia="Times New Roman" w:hAnsi="Times New Roman" w:cs="Times New Roman"/>
          <w:sz w:val="24"/>
          <w:szCs w:val="24"/>
        </w:rPr>
        <w:t>masl</w:t>
      </w:r>
      <w:proofErr w:type="spellEnd"/>
      <w:r w:rsidRPr="008A66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F4714C4" w14:textId="77777777" w:rsidR="002446E4" w:rsidRPr="008A66B3" w:rsidRDefault="002446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F472B4" w14:textId="77777777" w:rsidR="002446E4" w:rsidRPr="008A66B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6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09023183" wp14:editId="34322A4F">
            <wp:extent cx="5943600" cy="33528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E13284" w14:textId="77777777" w:rsidR="002446E4" w:rsidRPr="008A66B3" w:rsidRDefault="00000000">
      <w:pPr>
        <w:spacing w:before="24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6B3">
        <w:rPr>
          <w:rFonts w:ascii="Times New Roman" w:eastAsia="Times New Roman" w:hAnsi="Times New Roman" w:cs="Times New Roman"/>
          <w:b/>
          <w:sz w:val="24"/>
          <w:szCs w:val="24"/>
        </w:rPr>
        <w:t>Fig. S2</w:t>
      </w:r>
      <w:r w:rsidRPr="008A66B3">
        <w:rPr>
          <w:rFonts w:ascii="Times New Roman" w:eastAsia="Times New Roman" w:hAnsi="Times New Roman" w:cs="Times New Roman"/>
          <w:sz w:val="24"/>
          <w:szCs w:val="24"/>
        </w:rPr>
        <w:t xml:space="preserve"> Venn diagrams of shared and unique bacterial and fungal genera in the microbiome of the tree fern </w:t>
      </w:r>
      <w:r w:rsidRPr="008A66B3">
        <w:rPr>
          <w:rFonts w:ascii="Times New Roman" w:eastAsia="Times New Roman" w:hAnsi="Times New Roman" w:cs="Times New Roman"/>
          <w:i/>
          <w:sz w:val="24"/>
          <w:szCs w:val="24"/>
        </w:rPr>
        <w:t>Cyathea fulva</w:t>
      </w:r>
      <w:r w:rsidRPr="008A66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A66B3">
        <w:rPr>
          <w:rFonts w:ascii="Times New Roman" w:eastAsia="Times New Roman" w:hAnsi="Times New Roman" w:cs="Times New Roman"/>
          <w:sz w:val="24"/>
          <w:szCs w:val="24"/>
        </w:rPr>
        <w:t>Cyatheaceae</w:t>
      </w:r>
      <w:proofErr w:type="spellEnd"/>
      <w:r w:rsidRPr="008A66B3">
        <w:rPr>
          <w:rFonts w:ascii="Times New Roman" w:eastAsia="Times New Roman" w:hAnsi="Times New Roman" w:cs="Times New Roman"/>
          <w:sz w:val="24"/>
          <w:szCs w:val="24"/>
        </w:rPr>
        <w:t>) by sample type. Number of unique and shared genera between the phyllosphere, rhizosphere and soil, both for bacteria (a) and fungi (b)</w:t>
      </w:r>
    </w:p>
    <w:p w14:paraId="6A5BC499" w14:textId="77777777" w:rsidR="002446E4" w:rsidRPr="008A66B3" w:rsidRDefault="002446E4">
      <w:pPr>
        <w:spacing w:before="240"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9208D5" w14:textId="77777777" w:rsidR="002446E4" w:rsidRPr="008A66B3" w:rsidRDefault="002446E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69B8C2" w14:textId="4E645AAC" w:rsidR="002446E4" w:rsidRDefault="00AF2086">
      <w:pPr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508F553C" wp14:editId="145DD597">
                <wp:extent cx="304800" cy="304800"/>
                <wp:effectExtent l="0" t="0" r="0" b="0"/>
                <wp:docPr id="367720345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7973FB"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DCF3669" w14:textId="355A4579" w:rsidR="00AF2086" w:rsidRDefault="00AF2086">
      <w:pPr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6327F2DE" wp14:editId="76FC76BE">
            <wp:extent cx="5943600" cy="3442335"/>
            <wp:effectExtent l="0" t="0" r="0" b="5715"/>
            <wp:docPr id="1035917990" name="Imagen 3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17990" name="Imagen 3" descr="Imagen que contiene Gráfic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75B54" w14:textId="68A4C119" w:rsidR="00AF2086" w:rsidRPr="008A66B3" w:rsidRDefault="00AF2086">
      <w:pPr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E1BB19" w14:textId="4C66EA8C" w:rsidR="002446E4" w:rsidRPr="008A66B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8A66B3">
        <w:rPr>
          <w:rFonts w:ascii="Times New Roman" w:eastAsia="Times New Roman" w:hAnsi="Times New Roman" w:cs="Times New Roman"/>
          <w:b/>
          <w:sz w:val="24"/>
          <w:szCs w:val="24"/>
        </w:rPr>
        <w:t>Fig</w:t>
      </w:r>
      <w:r w:rsidR="0007691B" w:rsidRPr="008A66B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66B3">
        <w:rPr>
          <w:rFonts w:ascii="Times New Roman" w:eastAsia="Times New Roman" w:hAnsi="Times New Roman" w:cs="Times New Roman"/>
          <w:b/>
          <w:sz w:val="24"/>
          <w:szCs w:val="24"/>
        </w:rPr>
        <w:t xml:space="preserve"> S3</w:t>
      </w:r>
      <w:r w:rsidRPr="008A66B3">
        <w:rPr>
          <w:rFonts w:ascii="Times New Roman" w:eastAsia="Times New Roman" w:hAnsi="Times New Roman" w:cs="Times New Roman"/>
          <w:bCs/>
          <w:sz w:val="24"/>
          <w:szCs w:val="24"/>
        </w:rPr>
        <w:t xml:space="preserve"> Changes in measured environmental variables across elevation plots.</w:t>
      </w:r>
      <w:r w:rsidRPr="008A66B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8A66B3">
        <w:rPr>
          <w:rFonts w:ascii="Times New Roman" w:eastAsia="Times New Roman" w:hAnsi="Times New Roman" w:cs="Times New Roman"/>
          <w:sz w:val="24"/>
          <w:szCs w:val="24"/>
        </w:rPr>
        <w:t>Box plots showing variation across elevation plots for those variables that had statistically significant differences across elevations (</w:t>
      </w:r>
      <w:r w:rsidRPr="008A66B3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8A66B3">
        <w:rPr>
          <w:rFonts w:ascii="Times New Roman" w:eastAsia="Times New Roman" w:hAnsi="Times New Roman" w:cs="Times New Roman"/>
          <w:sz w:val="24"/>
          <w:szCs w:val="24"/>
        </w:rPr>
        <w:t xml:space="preserve"> &lt; 0.05). The asterisks denote variables that also showed statistically significant correlations with elevation (r &gt; 0.35, </w:t>
      </w:r>
      <w:r w:rsidRPr="008A66B3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8A66B3">
        <w:rPr>
          <w:rFonts w:ascii="Times New Roman" w:eastAsia="Times New Roman" w:hAnsi="Times New Roman" w:cs="Times New Roman"/>
          <w:sz w:val="24"/>
          <w:szCs w:val="24"/>
        </w:rPr>
        <w:t xml:space="preserve"> &lt; 0.05).</w:t>
      </w:r>
    </w:p>
    <w:p w14:paraId="4ED39901" w14:textId="77777777" w:rsidR="002446E4" w:rsidRPr="008A66B3" w:rsidRDefault="002446E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A19CEC" w14:textId="77777777" w:rsidR="002446E4" w:rsidRPr="008A66B3" w:rsidRDefault="002446E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0DD03E" w14:textId="77777777" w:rsidR="002446E4" w:rsidRPr="008A66B3" w:rsidRDefault="002446E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FAB171" w14:textId="77777777" w:rsidR="002446E4" w:rsidRPr="0007691B" w:rsidRDefault="002446E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446E4" w:rsidRPr="0007691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C00746"/>
    <w:multiLevelType w:val="hybridMultilevel"/>
    <w:tmpl w:val="5756FA60"/>
    <w:lvl w:ilvl="0" w:tplc="EE96B2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62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E4"/>
    <w:rsid w:val="0007691B"/>
    <w:rsid w:val="001E7864"/>
    <w:rsid w:val="001F389E"/>
    <w:rsid w:val="002446E4"/>
    <w:rsid w:val="00500ACE"/>
    <w:rsid w:val="008A66B3"/>
    <w:rsid w:val="0093010F"/>
    <w:rsid w:val="009D127F"/>
    <w:rsid w:val="00AF2086"/>
    <w:rsid w:val="00B4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7A32"/>
  <w15:docId w15:val="{7F1EF953-AC2E-41FA-9F7C-406CD9FD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07691B"/>
    <w:pPr>
      <w:ind w:left="720"/>
      <w:contextualSpacing/>
    </w:pPr>
  </w:style>
  <w:style w:type="table" w:styleId="Tablaconcuadrcula">
    <w:name w:val="Table Grid"/>
    <w:basedOn w:val="Tablanormal"/>
    <w:uiPriority w:val="39"/>
    <w:rsid w:val="009301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1F389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Mariana Vélez Múnera</cp:lastModifiedBy>
  <cp:revision>6</cp:revision>
  <dcterms:created xsi:type="dcterms:W3CDTF">2024-10-18T16:52:00Z</dcterms:created>
  <dcterms:modified xsi:type="dcterms:W3CDTF">2024-10-30T20:23:00Z</dcterms:modified>
</cp:coreProperties>
</file>