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04F06D" w14:textId="77777777" w:rsidR="00A6380E" w:rsidRPr="00A6380E" w:rsidRDefault="00A6380E" w:rsidP="00A6380E">
      <w:pPr>
        <w:rPr>
          <w:b/>
        </w:rPr>
      </w:pPr>
      <w:r w:rsidRPr="00A6380E">
        <w:rPr>
          <w:b/>
        </w:rPr>
        <w:t>Supplementary Material</w:t>
      </w:r>
    </w:p>
    <w:p w14:paraId="1E888E45" w14:textId="77777777" w:rsidR="00A6380E" w:rsidRPr="00A6380E" w:rsidRDefault="00A6380E" w:rsidP="00A6380E">
      <w:pPr>
        <w:rPr>
          <w:i/>
          <w:iCs/>
          <w:lang w:val="en-GB"/>
        </w:rPr>
      </w:pPr>
    </w:p>
    <w:p w14:paraId="77C6AC87" w14:textId="77777777" w:rsidR="00A6380E" w:rsidRPr="00A6380E" w:rsidRDefault="00A6380E" w:rsidP="00A6380E">
      <w:r w:rsidRPr="00A6380E">
        <w:rPr>
          <w:b/>
        </w:rPr>
        <w:t xml:space="preserve">Supplementary Tab. 1 </w:t>
      </w:r>
      <w:r w:rsidRPr="00A6380E">
        <w:t>Results of the Gaussian mixture model fit of the SBR histograms and resulting thresholds for the separation of the 5 regional categories. All values are given for putamen/caudate respectively.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8"/>
        <w:gridCol w:w="1368"/>
        <w:gridCol w:w="1368"/>
        <w:gridCol w:w="1368"/>
        <w:gridCol w:w="1368"/>
      </w:tblGrid>
      <w:tr w:rsidR="00A6380E" w:rsidRPr="00A6380E" w14:paraId="43A7410D" w14:textId="77777777" w:rsidTr="00A6380E">
        <w:trPr>
          <w:trHeight w:val="576"/>
          <w:jc w:val="center"/>
        </w:trPr>
        <w:tc>
          <w:tcPr>
            <w:tcW w:w="2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1BD5B17A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00667AA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In-house 1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0C3D680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In-house 2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408BC26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External 1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E26DADD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External 2</w:t>
            </w:r>
          </w:p>
        </w:tc>
      </w:tr>
      <w:tr w:rsidR="00A6380E" w:rsidRPr="00A6380E" w14:paraId="593ED111" w14:textId="77777777" w:rsidTr="00A6380E">
        <w:trPr>
          <w:trHeight w:val="576"/>
          <w:jc w:val="center"/>
        </w:trPr>
        <w:tc>
          <w:tcPr>
            <w:tcW w:w="2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7777BA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Mean „normal“ (M</w:t>
            </w:r>
            <w:r w:rsidRPr="00A6380E">
              <w:rPr>
                <w:vertAlign w:val="subscript"/>
                <w:lang w:val="de-DE"/>
              </w:rPr>
              <w:t>1</w:t>
            </w:r>
            <w:r w:rsidRPr="00A6380E">
              <w:rPr>
                <w:lang w:val="de-DE"/>
              </w:rPr>
              <w:t>)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38D28B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1.615/2.631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F1EC46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1.769/ 2.829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0218BD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1.100/ 1.691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7BE64D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1.514/2.465</w:t>
            </w:r>
          </w:p>
        </w:tc>
      </w:tr>
      <w:tr w:rsidR="00A6380E" w:rsidRPr="00A6380E" w14:paraId="4E15A20F" w14:textId="77777777" w:rsidTr="00A6380E">
        <w:trPr>
          <w:trHeight w:val="576"/>
          <w:jc w:val="center"/>
        </w:trPr>
        <w:tc>
          <w:tcPr>
            <w:tcW w:w="2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E762C0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SD „normal“ (SD</w:t>
            </w:r>
            <w:r w:rsidRPr="00A6380E">
              <w:rPr>
                <w:vertAlign w:val="subscript"/>
                <w:lang w:val="de-DE"/>
              </w:rPr>
              <w:t>1</w:t>
            </w:r>
            <w:r w:rsidRPr="00A6380E">
              <w:rPr>
                <w:lang w:val="de-DE"/>
              </w:rPr>
              <w:t>)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C436F8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0.345/0.542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7D8C0E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0.413/ 0.777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72C543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0.348/ 0.510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065C74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0.327/0.475</w:t>
            </w:r>
          </w:p>
        </w:tc>
      </w:tr>
      <w:tr w:rsidR="00A6380E" w:rsidRPr="00A6380E" w14:paraId="326C138E" w14:textId="77777777" w:rsidTr="00A6380E">
        <w:trPr>
          <w:trHeight w:val="576"/>
          <w:jc w:val="center"/>
        </w:trPr>
        <w:tc>
          <w:tcPr>
            <w:tcW w:w="2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F70413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Mean „reduced“ (M</w:t>
            </w:r>
            <w:r w:rsidRPr="00A6380E">
              <w:rPr>
                <w:vertAlign w:val="subscript"/>
                <w:lang w:val="de-DE"/>
              </w:rPr>
              <w:t>2</w:t>
            </w:r>
            <w:r w:rsidRPr="00A6380E">
              <w:rPr>
                <w:lang w:val="de-DE"/>
              </w:rPr>
              <w:t>)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641296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0.636/ 1.545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29DB7B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0.546/ 1.580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D5F978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0.486/ 1.156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D026C5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0.622/1.421</w:t>
            </w:r>
          </w:p>
        </w:tc>
      </w:tr>
      <w:tr w:rsidR="00A6380E" w:rsidRPr="00A6380E" w14:paraId="1559021F" w14:textId="77777777" w:rsidTr="00A6380E">
        <w:trPr>
          <w:trHeight w:val="576"/>
          <w:jc w:val="center"/>
        </w:trPr>
        <w:tc>
          <w:tcPr>
            <w:tcW w:w="2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370D11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SD „reduced“ (SD</w:t>
            </w:r>
            <w:r w:rsidRPr="00A6380E">
              <w:rPr>
                <w:vertAlign w:val="subscript"/>
                <w:lang w:val="de-DE"/>
              </w:rPr>
              <w:t>2</w:t>
            </w:r>
            <w:r w:rsidRPr="00A6380E">
              <w:rPr>
                <w:lang w:val="de-DE"/>
              </w:rPr>
              <w:t>)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FD4741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0.185/ 0.458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A348AE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0.251/ 0.463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27FA4E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0.142/ 0.274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BA3391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0.186/0.422</w:t>
            </w:r>
          </w:p>
        </w:tc>
      </w:tr>
      <w:tr w:rsidR="00A6380E" w:rsidRPr="00A6380E" w14:paraId="799DC00D" w14:textId="77777777" w:rsidTr="00A6380E">
        <w:trPr>
          <w:trHeight w:val="576"/>
          <w:jc w:val="center"/>
        </w:trPr>
        <w:tc>
          <w:tcPr>
            <w:tcW w:w="2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B30B79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Threshold normal vs. borderline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CBDAE0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1.175/ 2.179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98ACE0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1.230/ 2.190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2CDDA0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0.872/1.530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3F0B34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1.093/2.018</w:t>
            </w:r>
          </w:p>
        </w:tc>
      </w:tr>
      <w:tr w:rsidR="00A6380E" w:rsidRPr="00A6380E" w14:paraId="720D8FD6" w14:textId="77777777" w:rsidTr="00A6380E">
        <w:trPr>
          <w:trHeight w:val="576"/>
          <w:jc w:val="center"/>
        </w:trPr>
        <w:tc>
          <w:tcPr>
            <w:tcW w:w="2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DD9DB9" w14:textId="77777777" w:rsidR="00A6380E" w:rsidRPr="00A6380E" w:rsidRDefault="00A6380E" w:rsidP="00A6380E">
            <w:pPr>
              <w:spacing w:after="160" w:line="259" w:lineRule="auto"/>
            </w:pPr>
            <w:r w:rsidRPr="00A6380E">
              <w:t>Threshold borderline vs. moderate reduction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F8845E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0.978/ 2.042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FAF2E5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1.008/2.046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4538D8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0.796/1.463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A2A7D5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0.946/1.912</w:t>
            </w:r>
          </w:p>
        </w:tc>
      </w:tr>
      <w:tr w:rsidR="00A6380E" w:rsidRPr="00A6380E" w14:paraId="0B9D3EE6" w14:textId="77777777" w:rsidTr="00A6380E">
        <w:trPr>
          <w:trHeight w:val="576"/>
          <w:jc w:val="center"/>
        </w:trPr>
        <w:tc>
          <w:tcPr>
            <w:tcW w:w="2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53EF72" w14:textId="77777777" w:rsidR="00A6380E" w:rsidRPr="00A6380E" w:rsidRDefault="00A6380E" w:rsidP="00A6380E">
            <w:pPr>
              <w:spacing w:after="160" w:line="259" w:lineRule="auto"/>
            </w:pPr>
            <w:r w:rsidRPr="00A6380E">
              <w:t>Threshold moderate vs. strong reduction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158EB3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0.716/ 1.729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106244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0.651/1.688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967A21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0.577/1.251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D8435E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0.705/1.591</w:t>
            </w:r>
          </w:p>
        </w:tc>
      </w:tr>
      <w:tr w:rsidR="00A6380E" w:rsidRPr="00A6380E" w14:paraId="288C7646" w14:textId="77777777" w:rsidTr="00A6380E">
        <w:trPr>
          <w:trHeight w:val="576"/>
          <w:jc w:val="center"/>
        </w:trPr>
        <w:tc>
          <w:tcPr>
            <w:tcW w:w="2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82B78D" w14:textId="77777777" w:rsidR="00A6380E" w:rsidRPr="00A6380E" w:rsidRDefault="00A6380E" w:rsidP="00A6380E">
            <w:pPr>
              <w:spacing w:after="160" w:line="259" w:lineRule="auto"/>
            </w:pPr>
            <w:r w:rsidRPr="00A6380E">
              <w:t>Threshold strong reduction vs. (almost) missing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C86653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0.558/ 1.389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0A70A4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0.445/1.362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903266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0.441/1.023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EA3F56" w14:textId="77777777" w:rsidR="00A6380E" w:rsidRPr="00A6380E" w:rsidRDefault="00A6380E" w:rsidP="00A6380E">
            <w:pPr>
              <w:spacing w:after="160" w:line="259" w:lineRule="auto"/>
              <w:rPr>
                <w:lang w:val="de-DE"/>
              </w:rPr>
            </w:pPr>
            <w:r w:rsidRPr="00A6380E">
              <w:rPr>
                <w:lang w:val="de-DE"/>
              </w:rPr>
              <w:t>0.547/1.262</w:t>
            </w:r>
          </w:p>
        </w:tc>
      </w:tr>
    </w:tbl>
    <w:p w14:paraId="2FA21F77" w14:textId="77777777" w:rsidR="00A6380E" w:rsidRPr="00A6380E" w:rsidRDefault="00A6380E" w:rsidP="00A6380E"/>
    <w:p w14:paraId="799DEF5E" w14:textId="77777777" w:rsidR="00A6380E" w:rsidRPr="00A6380E" w:rsidRDefault="00A6380E" w:rsidP="00A6380E">
      <w:pPr>
        <w:rPr>
          <w:i/>
          <w:iCs/>
          <w:lang w:val="en-GB"/>
        </w:rPr>
      </w:pPr>
      <w:r w:rsidRPr="00A6380E">
        <w:rPr>
          <w:i/>
          <w:iCs/>
          <w:lang w:val="en-GB"/>
        </w:rPr>
        <w:br w:type="page"/>
      </w:r>
    </w:p>
    <w:p w14:paraId="3AF4F2DE" w14:textId="77777777" w:rsidR="00A6380E" w:rsidRPr="00A6380E" w:rsidRDefault="00A6380E" w:rsidP="00A6380E">
      <w:pPr>
        <w:rPr>
          <w:iCs/>
          <w:lang w:val="en-GB"/>
        </w:rPr>
      </w:pPr>
    </w:p>
    <w:p w14:paraId="62160317" w14:textId="1FFA8745" w:rsidR="00A6380E" w:rsidRPr="00A6380E" w:rsidRDefault="00A6380E" w:rsidP="00A6380E">
      <w:pPr>
        <w:rPr>
          <w:iCs/>
          <w:lang w:val="en-GB"/>
        </w:rPr>
      </w:pPr>
      <w:r w:rsidRPr="00A6380E">
        <w:rPr>
          <w:lang w:val="de-DE"/>
        </w:rPr>
        <w:drawing>
          <wp:inline distT="0" distB="0" distL="0" distR="0" wp14:anchorId="7E201CF5" wp14:editId="09E03066">
            <wp:extent cx="5362575" cy="3648075"/>
            <wp:effectExtent l="0" t="0" r="9525" b="9525"/>
            <wp:docPr id="1498957691" name="Picture 4" descr="A screenshot of a brain sca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8957691" name="Picture 4" descr="A screenshot of a brain scan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364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17E66" w14:textId="77777777" w:rsidR="00A6380E" w:rsidRPr="00A6380E" w:rsidRDefault="00A6380E" w:rsidP="00A6380E">
      <w:r w:rsidRPr="00A6380E">
        <w:rPr>
          <w:b/>
        </w:rPr>
        <w:t xml:space="preserve">Supplementary Fig. 1 </w:t>
      </w:r>
      <w:r w:rsidRPr="00A6380E">
        <w:t>Ten randomly selected images from each of the 4 datasets.</w:t>
      </w:r>
    </w:p>
    <w:p w14:paraId="5FDAB7E4" w14:textId="77777777" w:rsidR="00A6380E" w:rsidRPr="00A6380E" w:rsidRDefault="00A6380E" w:rsidP="00A6380E">
      <w:pPr>
        <w:rPr>
          <w:iCs/>
          <w:lang w:val="en-GB"/>
        </w:rPr>
      </w:pPr>
      <w:r w:rsidRPr="00A6380E">
        <w:rPr>
          <w:iCs/>
          <w:lang w:val="en-GB"/>
        </w:rPr>
        <w:br w:type="page"/>
      </w:r>
    </w:p>
    <w:p w14:paraId="64CD7F71" w14:textId="77777777" w:rsidR="00A6380E" w:rsidRPr="00A6380E" w:rsidRDefault="00A6380E" w:rsidP="00A6380E">
      <w:pPr>
        <w:rPr>
          <w:iCs/>
          <w:lang w:val="en-GB"/>
        </w:rPr>
      </w:pPr>
    </w:p>
    <w:p w14:paraId="3A9F00A5" w14:textId="348B595A" w:rsidR="00A6380E" w:rsidRPr="00A6380E" w:rsidRDefault="00A6380E" w:rsidP="00A6380E">
      <w:pPr>
        <w:rPr>
          <w:iCs/>
          <w:lang w:val="en-GB"/>
        </w:rPr>
      </w:pPr>
      <w:r w:rsidRPr="00A6380E">
        <w:rPr>
          <w:lang w:val="de-DE"/>
        </w:rPr>
        <w:drawing>
          <wp:inline distT="0" distB="0" distL="0" distR="0" wp14:anchorId="3103E8C1" wp14:editId="2DE1E955">
            <wp:extent cx="3638550" cy="3743325"/>
            <wp:effectExtent l="0" t="0" r="0" b="9525"/>
            <wp:docPr id="1605411765" name="Picture 3" descr="A group of graphs showing different types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5411765" name="Picture 3" descr="A group of graphs showing different types of data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E897AE" w14:textId="77777777" w:rsidR="00A6380E" w:rsidRPr="00A6380E" w:rsidRDefault="00A6380E" w:rsidP="00A6380E">
      <w:pPr>
        <w:rPr>
          <w:iCs/>
          <w:lang w:val="en-GB"/>
        </w:rPr>
      </w:pPr>
      <w:r w:rsidRPr="00A6380E">
        <w:rPr>
          <w:b/>
        </w:rPr>
        <w:t xml:space="preserve">Supplementary Fig. 2 </w:t>
      </w:r>
      <w:r w:rsidRPr="00A6380E">
        <w:t>Automatic generation of the reference standard for the categorical 5-level score in the caudate based on the fit of a Gaussian mixture model to the histogram of the caudate specific binding ratio (SBR). This was performed separately for each dataset.</w:t>
      </w:r>
    </w:p>
    <w:p w14:paraId="42F64380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80E"/>
    <w:rsid w:val="000C5DA0"/>
    <w:rsid w:val="00A6380E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A7F3D"/>
  <w15:chartTrackingRefBased/>
  <w15:docId w15:val="{D36A8B32-E948-4F16-B4F4-3F224C8CC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38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38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38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38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38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38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38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38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38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38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38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38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38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38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38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38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38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38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38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38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38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38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38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38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38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38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38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38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380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638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193</Words>
  <Characters>1101</Characters>
  <Application>Microsoft Office Word</Application>
  <DocSecurity>0</DocSecurity>
  <Lines>9</Lines>
  <Paragraphs>2</Paragraphs>
  <ScaleCrop>false</ScaleCrop>
  <Company>Springer Nature</Company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2024-11-21T06:34:00Z</dcterms:created>
  <dcterms:modified xsi:type="dcterms:W3CDTF">2024-11-21T06:34:00Z</dcterms:modified>
</cp:coreProperties>
</file>