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EAF4" w14:textId="3AB9586F" w:rsidR="00213E88" w:rsidRDefault="00706F9D" w:rsidP="00825DAF">
      <w:pPr>
        <w:rPr>
          <w:b/>
          <w:bCs/>
          <w:lang w:val="en-US"/>
        </w:rPr>
      </w:pPr>
      <w:r>
        <w:rPr>
          <w:b/>
          <w:bCs/>
          <w:lang w:val="en-US"/>
        </w:rPr>
        <w:t>Supplement</w:t>
      </w:r>
      <w:bookmarkStart w:id="0" w:name="_Hlk156914552"/>
    </w:p>
    <w:p w14:paraId="0BD6D540" w14:textId="77777777" w:rsidR="00117285" w:rsidRDefault="00117285" w:rsidP="00825DAF">
      <w:pPr>
        <w:rPr>
          <w:b/>
          <w:bCs/>
          <w:lang w:val="en-US"/>
        </w:rPr>
      </w:pPr>
    </w:p>
    <w:p w14:paraId="112F0723" w14:textId="479F73AC" w:rsidR="00117285" w:rsidRDefault="00137531" w:rsidP="00825DAF">
      <w:pPr>
        <w:rPr>
          <w:b/>
          <w:bCs/>
          <w:lang w:val="en-US"/>
        </w:rPr>
      </w:pPr>
      <w:r>
        <w:rPr>
          <w:b/>
          <w:bCs/>
          <w:noProof/>
          <w:lang w:val="en-US"/>
        </w:rPr>
        <w:drawing>
          <wp:inline distT="0" distB="0" distL="0" distR="0" wp14:anchorId="4B2560F4" wp14:editId="73BCAD87">
            <wp:extent cx="5731510" cy="4962525"/>
            <wp:effectExtent l="0" t="0" r="2540" b="9525"/>
            <wp:docPr id="1053954783" name="Picture 1" descr="A diagram of a nuclear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54783" name="Picture 1" descr="A diagram of a nuclear tes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962525"/>
                    </a:xfrm>
                    <a:prstGeom prst="rect">
                      <a:avLst/>
                    </a:prstGeom>
                  </pic:spPr>
                </pic:pic>
              </a:graphicData>
            </a:graphic>
          </wp:inline>
        </w:drawing>
      </w:r>
    </w:p>
    <w:p w14:paraId="23A245C3" w14:textId="4B97EAD9" w:rsidR="00117285" w:rsidRPr="00CE116B" w:rsidRDefault="00476C42" w:rsidP="00C94326">
      <w:pPr>
        <w:jc w:val="both"/>
        <w:rPr>
          <w:lang w:val="en-US"/>
        </w:rPr>
      </w:pPr>
      <w:r>
        <w:rPr>
          <w:b/>
          <w:bCs/>
          <w:lang w:val="en-US"/>
        </w:rPr>
        <w:t>Figure S1</w:t>
      </w:r>
      <w:r w:rsidRPr="0086228E">
        <w:rPr>
          <w:b/>
          <w:bCs/>
          <w:lang w:val="en-US"/>
        </w:rPr>
        <w:t xml:space="preserve">. </w:t>
      </w:r>
      <w:r w:rsidR="00537B12">
        <w:rPr>
          <w:b/>
          <w:bCs/>
          <w:lang w:val="en-US"/>
        </w:rPr>
        <w:t>Sources</w:t>
      </w:r>
      <w:r w:rsidR="003F3A1D" w:rsidRPr="0086228E">
        <w:rPr>
          <w:b/>
          <w:bCs/>
          <w:lang w:val="en-US"/>
        </w:rPr>
        <w:t xml:space="preserve"> of </w:t>
      </w:r>
      <w:r w:rsidR="00D154C5">
        <w:rPr>
          <w:b/>
          <w:bCs/>
          <w:lang w:val="en-US"/>
        </w:rPr>
        <w:t>ammonia</w:t>
      </w:r>
      <w:r w:rsidR="003F3A1D" w:rsidRPr="0086228E">
        <w:rPr>
          <w:b/>
          <w:bCs/>
          <w:lang w:val="en-US"/>
        </w:rPr>
        <w:t xml:space="preserve"> and DMA</w:t>
      </w:r>
      <w:r w:rsidR="00227BDE" w:rsidRPr="0086228E">
        <w:rPr>
          <w:b/>
          <w:bCs/>
          <w:lang w:val="en-US"/>
        </w:rPr>
        <w:t>.</w:t>
      </w:r>
      <w:r w:rsidR="00227BDE">
        <w:rPr>
          <w:lang w:val="en-US"/>
        </w:rPr>
        <w:t xml:space="preserve"> </w:t>
      </w:r>
      <w:r w:rsidR="00227BDE" w:rsidRPr="00227BDE">
        <w:rPr>
          <w:b/>
          <w:bCs/>
          <w:lang w:val="en-US"/>
        </w:rPr>
        <w:t>A)</w:t>
      </w:r>
      <w:r w:rsidR="00227BDE">
        <w:rPr>
          <w:lang w:val="en-US"/>
        </w:rPr>
        <w:t xml:space="preserve"> </w:t>
      </w:r>
      <w:r w:rsidR="00537B12">
        <w:rPr>
          <w:lang w:val="en-US"/>
        </w:rPr>
        <w:t>A</w:t>
      </w:r>
      <w:r w:rsidR="00227BDE">
        <w:rPr>
          <w:lang w:val="en-US"/>
        </w:rPr>
        <w:t xml:space="preserve"> wind rose of </w:t>
      </w:r>
      <w:r w:rsidR="00D154C5">
        <w:rPr>
          <w:lang w:val="en-US"/>
        </w:rPr>
        <w:t>ammonia (</w:t>
      </w:r>
      <w:r w:rsidR="00E676D0">
        <w:rPr>
          <w:lang w:val="en-US"/>
        </w:rPr>
        <w:t>NH</w:t>
      </w:r>
      <w:r w:rsidR="00E676D0" w:rsidRPr="0086228E">
        <w:rPr>
          <w:vertAlign w:val="subscript"/>
          <w:lang w:val="en-US"/>
        </w:rPr>
        <w:t>3</w:t>
      </w:r>
      <w:r w:rsidR="00D154C5">
        <w:rPr>
          <w:lang w:val="en-US"/>
        </w:rPr>
        <w:t xml:space="preserve">) </w:t>
      </w:r>
      <w:r w:rsidR="003F3A1D">
        <w:rPr>
          <w:lang w:val="en-US"/>
        </w:rPr>
        <w:t>mixing ratios between 0.01 – 1</w:t>
      </w:r>
      <w:r w:rsidR="00E676D0">
        <w:rPr>
          <w:lang w:val="en-US"/>
        </w:rPr>
        <w:t xml:space="preserve">4 </w:t>
      </w:r>
      <w:r w:rsidR="003F3A1D">
        <w:rPr>
          <w:lang w:val="en-US"/>
        </w:rPr>
        <w:t xml:space="preserve">ppb according to wind direction and wind speed. </w:t>
      </w:r>
      <w:r w:rsidR="00E676D0">
        <w:rPr>
          <w:lang w:val="en-US"/>
        </w:rPr>
        <w:t>Th</w:t>
      </w:r>
      <w:r w:rsidR="00E32B2D">
        <w:rPr>
          <w:lang w:val="en-US"/>
        </w:rPr>
        <w:t>is wind</w:t>
      </w:r>
      <w:r w:rsidR="00F321E2">
        <w:rPr>
          <w:lang w:val="en-US"/>
        </w:rPr>
        <w:t xml:space="preserve"> </w:t>
      </w:r>
      <w:r w:rsidR="00E32B2D">
        <w:rPr>
          <w:lang w:val="en-US"/>
        </w:rPr>
        <w:t>rose features the same data as Figure 1 in the main text, however, the</w:t>
      </w:r>
      <w:r w:rsidR="003F3A1D">
        <w:rPr>
          <w:lang w:val="en-US"/>
        </w:rPr>
        <w:t xml:space="preserve"> mixing ratio axis is </w:t>
      </w:r>
      <w:r w:rsidR="00E32B2D">
        <w:rPr>
          <w:lang w:val="en-US"/>
        </w:rPr>
        <w:t>not zoomed here to show</w:t>
      </w:r>
      <w:r w:rsidR="00F321E2">
        <w:rPr>
          <w:lang w:val="en-US"/>
        </w:rPr>
        <w:t xml:space="preserve"> the full extent of the NH</w:t>
      </w:r>
      <w:r w:rsidR="0086228E" w:rsidRPr="0086228E">
        <w:rPr>
          <w:vertAlign w:val="subscript"/>
          <w:lang w:val="en-US"/>
        </w:rPr>
        <w:t>3</w:t>
      </w:r>
      <w:r w:rsidR="00F321E2">
        <w:rPr>
          <w:lang w:val="en-US"/>
        </w:rPr>
        <w:t xml:space="preserve"> mixing ratios up to </w:t>
      </w:r>
      <w:r w:rsidR="0086228E">
        <w:rPr>
          <w:lang w:val="en-US"/>
        </w:rPr>
        <w:t>14 ppb</w:t>
      </w:r>
      <w:r w:rsidR="003F3A1D">
        <w:rPr>
          <w:lang w:val="en-US"/>
        </w:rPr>
        <w:t>.</w:t>
      </w:r>
      <w:r w:rsidR="0086228E">
        <w:rPr>
          <w:lang w:val="en-US"/>
        </w:rPr>
        <w:t xml:space="preserve"> </w:t>
      </w:r>
      <w:r w:rsidR="0097097D" w:rsidRPr="0097097D">
        <w:rPr>
          <w:b/>
          <w:bCs/>
          <w:lang w:val="en-US"/>
        </w:rPr>
        <w:t>B)</w:t>
      </w:r>
      <w:r w:rsidR="0097097D">
        <w:rPr>
          <w:b/>
          <w:bCs/>
          <w:lang w:val="en-US"/>
        </w:rPr>
        <w:t xml:space="preserve"> </w:t>
      </w:r>
      <w:r w:rsidR="0097097D">
        <w:rPr>
          <w:lang w:val="en-US"/>
        </w:rPr>
        <w:t>A wind rose of NH</w:t>
      </w:r>
      <w:r w:rsidR="0097097D" w:rsidRPr="0097097D">
        <w:rPr>
          <w:vertAlign w:val="subscript"/>
          <w:lang w:val="en-US"/>
        </w:rPr>
        <w:t>3</w:t>
      </w:r>
      <w:r w:rsidR="0097097D">
        <w:rPr>
          <w:lang w:val="en-US"/>
        </w:rPr>
        <w:t xml:space="preserve">, zoomed to show </w:t>
      </w:r>
      <w:r w:rsidR="00F271A5">
        <w:rPr>
          <w:lang w:val="en-US"/>
        </w:rPr>
        <w:t>additional details in the lower range of</w:t>
      </w:r>
      <w:r w:rsidR="002141E1">
        <w:rPr>
          <w:lang w:val="en-US"/>
        </w:rPr>
        <w:t xml:space="preserve"> NH</w:t>
      </w:r>
      <w:r w:rsidR="002141E1" w:rsidRPr="002141E1">
        <w:rPr>
          <w:vertAlign w:val="subscript"/>
          <w:lang w:val="en-US"/>
        </w:rPr>
        <w:t>3</w:t>
      </w:r>
      <w:r w:rsidR="002141E1">
        <w:rPr>
          <w:lang w:val="en-US"/>
        </w:rPr>
        <w:t xml:space="preserve"> </w:t>
      </w:r>
      <w:r w:rsidR="00F271A5">
        <w:rPr>
          <w:lang w:val="en-US"/>
        </w:rPr>
        <w:t xml:space="preserve">mixing ratios. This is the same figure as presented in </w:t>
      </w:r>
      <w:r w:rsidR="000D3C41">
        <w:rPr>
          <w:lang w:val="en-US"/>
        </w:rPr>
        <w:t>Figure 1C</w:t>
      </w:r>
      <w:r w:rsidR="005F693C">
        <w:rPr>
          <w:lang w:val="en-US"/>
        </w:rPr>
        <w:t xml:space="preserve">. It is included here to provide for comparison purposes. </w:t>
      </w:r>
      <w:r w:rsidR="0097097D">
        <w:rPr>
          <w:b/>
          <w:bCs/>
          <w:lang w:val="en-US"/>
        </w:rPr>
        <w:t>C</w:t>
      </w:r>
      <w:r w:rsidR="0086228E" w:rsidRPr="00CE116B">
        <w:rPr>
          <w:b/>
          <w:bCs/>
          <w:lang w:val="en-US"/>
        </w:rPr>
        <w:t>)</w:t>
      </w:r>
      <w:r w:rsidR="00CE116B">
        <w:rPr>
          <w:b/>
          <w:bCs/>
          <w:lang w:val="en-US"/>
        </w:rPr>
        <w:t xml:space="preserve"> </w:t>
      </w:r>
      <w:r w:rsidR="00CE116B">
        <w:rPr>
          <w:lang w:val="en-US"/>
        </w:rPr>
        <w:t xml:space="preserve">A wind rose of dimethylamine (DMA) in </w:t>
      </w:r>
      <w:r w:rsidR="005B5386">
        <w:rPr>
          <w:lang w:val="en-US"/>
        </w:rPr>
        <w:t xml:space="preserve">ion </w:t>
      </w:r>
      <w:r w:rsidR="00CE116B">
        <w:rPr>
          <w:lang w:val="en-US"/>
        </w:rPr>
        <w:t xml:space="preserve">counts per second </w:t>
      </w:r>
      <w:r w:rsidR="005B5386">
        <w:rPr>
          <w:lang w:val="en-US"/>
        </w:rPr>
        <w:t xml:space="preserve">(cps) from the ambient ion mode of the </w:t>
      </w:r>
      <w:r w:rsidR="001775B4">
        <w:rPr>
          <w:lang w:val="en-US"/>
        </w:rPr>
        <w:t>CIMS with the MION inlet.</w:t>
      </w:r>
    </w:p>
    <w:p w14:paraId="525331F7" w14:textId="77777777" w:rsidR="00606F75" w:rsidRPr="00EA7633" w:rsidRDefault="00606F75" w:rsidP="00825DAF">
      <w:pPr>
        <w:rPr>
          <w:b/>
          <w:bCs/>
          <w:lang w:val="en-US"/>
        </w:rPr>
      </w:pPr>
    </w:p>
    <w:p w14:paraId="506224B1" w14:textId="77777777" w:rsidR="00606F75" w:rsidRDefault="00606F75" w:rsidP="00606F75">
      <w:pPr>
        <w:rPr>
          <w:b/>
          <w:bCs/>
          <w:lang w:val="en-US"/>
        </w:rPr>
      </w:pPr>
      <w:r>
        <w:rPr>
          <w:b/>
          <w:bCs/>
          <w:noProof/>
          <w:lang w:val="en-US"/>
        </w:rPr>
        <w:lastRenderedPageBreak/>
        <w:drawing>
          <wp:inline distT="0" distB="0" distL="0" distR="0" wp14:anchorId="3F19F10D" wp14:editId="614156F0">
            <wp:extent cx="5731510" cy="7164705"/>
            <wp:effectExtent l="0" t="0" r="2540" b="0"/>
            <wp:docPr id="1287121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1614" name="Picture 12871216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p>
    <w:p w14:paraId="5E536972" w14:textId="0808EA13" w:rsidR="00330D70" w:rsidRPr="00117285" w:rsidRDefault="00606F75" w:rsidP="003600FF">
      <w:pPr>
        <w:rPr>
          <w:lang w:val="en-US"/>
        </w:rPr>
      </w:pPr>
      <w:r>
        <w:rPr>
          <w:b/>
          <w:bCs/>
          <w:lang w:val="en-US"/>
        </w:rPr>
        <w:t xml:space="preserve">Figure S2. Description of aerosol precursor gas measurements during the campaign. </w:t>
      </w:r>
      <w:r>
        <w:rPr>
          <w:lang w:val="en-US"/>
        </w:rPr>
        <w:t xml:space="preserve">Concentration timeseries at 10-minutes resolution and their corresponding frequency of occurrence are shown for </w:t>
      </w:r>
      <w:r w:rsidRPr="001A0F7E">
        <w:rPr>
          <w:b/>
          <w:bCs/>
          <w:lang w:val="en-US"/>
        </w:rPr>
        <w:t>A)</w:t>
      </w:r>
      <w:r>
        <w:rPr>
          <w:lang w:val="en-US"/>
        </w:rPr>
        <w:t xml:space="preserve"> sulfuric acid (SA), </w:t>
      </w:r>
      <w:r w:rsidRPr="001A0F7E">
        <w:rPr>
          <w:b/>
          <w:bCs/>
          <w:lang w:val="en-US"/>
        </w:rPr>
        <w:t>B)</w:t>
      </w:r>
      <w:r>
        <w:rPr>
          <w:lang w:val="en-US"/>
        </w:rPr>
        <w:t xml:space="preserve"> methanesulfonic acid (MSA), </w:t>
      </w:r>
      <w:r w:rsidRPr="001A0F7E">
        <w:rPr>
          <w:b/>
          <w:bCs/>
          <w:lang w:val="en-US"/>
        </w:rPr>
        <w:t>C)</w:t>
      </w:r>
      <w:r>
        <w:rPr>
          <w:lang w:val="en-US"/>
        </w:rPr>
        <w:t xml:space="preserve"> iodic acid (IA), and </w:t>
      </w:r>
      <w:r w:rsidRPr="001A0F7E">
        <w:rPr>
          <w:b/>
          <w:bCs/>
          <w:lang w:val="en-US"/>
        </w:rPr>
        <w:t>D)</w:t>
      </w:r>
      <w:r>
        <w:rPr>
          <w:lang w:val="en-US"/>
        </w:rPr>
        <w:t xml:space="preserve"> NH</w:t>
      </w:r>
      <w:r w:rsidRPr="001A0F7E">
        <w:rPr>
          <w:vertAlign w:val="subscript"/>
          <w:lang w:val="en-US"/>
        </w:rPr>
        <w:t>3</w:t>
      </w:r>
      <w:r>
        <w:rPr>
          <w:lang w:val="en-US"/>
        </w:rPr>
        <w:t>. The shaded gray regions on the timeseries plots indicate periods of NPF, and the shaded gray bars on the frequency plots show the concentrations observed during the NPF events.</w:t>
      </w:r>
      <w:bookmarkEnd w:id="0"/>
    </w:p>
    <w:p w14:paraId="74B0E38A" w14:textId="3F44C0BC" w:rsidR="00B8547D" w:rsidRDefault="00FE17F7" w:rsidP="00853FC2">
      <w:pPr>
        <w:rPr>
          <w:lang w:val="en-US"/>
        </w:rPr>
      </w:pPr>
      <w:r>
        <w:rPr>
          <w:lang w:val="en-US"/>
        </w:rPr>
        <w:t xml:space="preserve"> </w:t>
      </w:r>
    </w:p>
    <w:p w14:paraId="7153E451" w14:textId="77777777" w:rsidR="00330D70" w:rsidRDefault="00330D70" w:rsidP="00853FC2">
      <w:pPr>
        <w:rPr>
          <w:lang w:val="en-US"/>
        </w:rPr>
      </w:pPr>
    </w:p>
    <w:p w14:paraId="7AF7AECF" w14:textId="1FC71498" w:rsidR="008A368A" w:rsidRDefault="006B3D7E" w:rsidP="00E01BD5">
      <w:pPr>
        <w:rPr>
          <w:b/>
          <w:bCs/>
          <w:lang w:val="en-US"/>
        </w:rPr>
      </w:pPr>
      <w:r>
        <w:rPr>
          <w:b/>
          <w:bCs/>
          <w:noProof/>
          <w:lang w:val="en-US"/>
        </w:rPr>
        <w:lastRenderedPageBreak/>
        <w:drawing>
          <wp:inline distT="0" distB="0" distL="0" distR="0" wp14:anchorId="23BF5306" wp14:editId="57B831C9">
            <wp:extent cx="5804866" cy="3458561"/>
            <wp:effectExtent l="0" t="0" r="5715" b="8890"/>
            <wp:docPr id="2132831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6484" cy="3471441"/>
                    </a:xfrm>
                    <a:prstGeom prst="rect">
                      <a:avLst/>
                    </a:prstGeom>
                    <a:noFill/>
                  </pic:spPr>
                </pic:pic>
              </a:graphicData>
            </a:graphic>
          </wp:inline>
        </w:drawing>
      </w:r>
    </w:p>
    <w:p w14:paraId="7C0AC8D8" w14:textId="77777777" w:rsidR="00F443D0" w:rsidRDefault="00F443D0" w:rsidP="00E01BD5">
      <w:pPr>
        <w:rPr>
          <w:b/>
          <w:bCs/>
          <w:lang w:val="en-US"/>
        </w:rPr>
      </w:pPr>
    </w:p>
    <w:p w14:paraId="159B5F05" w14:textId="5E8E2AB3" w:rsidR="00E01BD5" w:rsidRDefault="008A368A" w:rsidP="00830361">
      <w:pPr>
        <w:rPr>
          <w:lang w:val="en-US"/>
        </w:rPr>
      </w:pPr>
      <w:r>
        <w:rPr>
          <w:b/>
          <w:bCs/>
          <w:lang w:val="en-US"/>
        </w:rPr>
        <w:t>Fig</w:t>
      </w:r>
      <w:r w:rsidR="001552DD">
        <w:rPr>
          <w:b/>
          <w:bCs/>
          <w:lang w:val="en-US"/>
        </w:rPr>
        <w:t>ure</w:t>
      </w:r>
      <w:r>
        <w:rPr>
          <w:b/>
          <w:bCs/>
          <w:lang w:val="en-US"/>
        </w:rPr>
        <w:t xml:space="preserve"> S</w:t>
      </w:r>
      <w:r w:rsidR="00FE3CDC">
        <w:rPr>
          <w:b/>
          <w:bCs/>
          <w:lang w:val="en-US"/>
        </w:rPr>
        <w:t>3</w:t>
      </w:r>
      <w:r>
        <w:rPr>
          <w:b/>
          <w:bCs/>
          <w:lang w:val="en-US"/>
        </w:rPr>
        <w:t xml:space="preserve">. </w:t>
      </w:r>
      <w:r w:rsidR="008B66CA">
        <w:rPr>
          <w:b/>
          <w:bCs/>
          <w:lang w:val="en-US"/>
        </w:rPr>
        <w:t>Mass defect plot</w:t>
      </w:r>
      <w:r w:rsidR="00366105">
        <w:rPr>
          <w:b/>
          <w:bCs/>
          <w:lang w:val="en-US"/>
        </w:rPr>
        <w:t xml:space="preserve"> with </w:t>
      </w:r>
      <w:r w:rsidR="00A21A84">
        <w:rPr>
          <w:b/>
          <w:bCs/>
          <w:lang w:val="en-US"/>
        </w:rPr>
        <w:t>s</w:t>
      </w:r>
      <w:r w:rsidR="00E01BD5" w:rsidRPr="007A24FA">
        <w:rPr>
          <w:b/>
          <w:bCs/>
          <w:lang w:val="en-US"/>
        </w:rPr>
        <w:t xml:space="preserve">ulfuric </w:t>
      </w:r>
      <w:r w:rsidR="00A21A84">
        <w:rPr>
          <w:b/>
          <w:bCs/>
          <w:lang w:val="en-US"/>
        </w:rPr>
        <w:t>a</w:t>
      </w:r>
      <w:r w:rsidR="00E01BD5" w:rsidRPr="007A24FA">
        <w:rPr>
          <w:b/>
          <w:bCs/>
          <w:lang w:val="en-US"/>
        </w:rPr>
        <w:t xml:space="preserve">cid </w:t>
      </w:r>
      <w:r w:rsidR="00E01BD5">
        <w:rPr>
          <w:b/>
          <w:bCs/>
          <w:lang w:val="en-US"/>
        </w:rPr>
        <w:t xml:space="preserve">and </w:t>
      </w:r>
      <w:r w:rsidR="000D308E">
        <w:rPr>
          <w:b/>
          <w:bCs/>
          <w:lang w:val="en-US"/>
        </w:rPr>
        <w:t>i</w:t>
      </w:r>
      <w:r w:rsidR="00E01BD5">
        <w:rPr>
          <w:b/>
          <w:bCs/>
          <w:lang w:val="en-US"/>
        </w:rPr>
        <w:t>odoxyacid</w:t>
      </w:r>
      <w:r w:rsidR="00366105">
        <w:rPr>
          <w:b/>
          <w:bCs/>
          <w:lang w:val="en-US"/>
        </w:rPr>
        <w:t xml:space="preserve"> clusters</w:t>
      </w:r>
      <w:r w:rsidR="00A21A84">
        <w:rPr>
          <w:b/>
          <w:bCs/>
          <w:lang w:val="en-US"/>
        </w:rPr>
        <w:t>.</w:t>
      </w:r>
      <w:r w:rsidR="001A4C35">
        <w:rPr>
          <w:b/>
          <w:bCs/>
          <w:lang w:val="en-US"/>
        </w:rPr>
        <w:t xml:space="preserve"> </w:t>
      </w:r>
      <w:r w:rsidR="001A4C35">
        <w:rPr>
          <w:lang w:val="en-US"/>
        </w:rPr>
        <w:t xml:space="preserve">The mass defect </w:t>
      </w:r>
      <w:r w:rsidR="00B27458">
        <w:rPr>
          <w:lang w:val="en-US"/>
        </w:rPr>
        <w:t>for ionic clusters observed during t</w:t>
      </w:r>
      <w:r w:rsidR="00FE0920">
        <w:rPr>
          <w:lang w:val="en-US"/>
        </w:rPr>
        <w:t>he NPF event observed</w:t>
      </w:r>
      <w:r w:rsidR="00B27458">
        <w:rPr>
          <w:lang w:val="en-US"/>
        </w:rPr>
        <w:t xml:space="preserve"> on</w:t>
      </w:r>
      <w:r w:rsidR="00FE0920">
        <w:rPr>
          <w:lang w:val="en-US"/>
        </w:rPr>
        <w:t xml:space="preserve"> </w:t>
      </w:r>
      <w:r w:rsidR="001A4C35">
        <w:rPr>
          <w:lang w:val="en-US"/>
        </w:rPr>
        <w:t xml:space="preserve">March 3, 2023 is shown. </w:t>
      </w:r>
      <w:r w:rsidR="00B27458">
        <w:rPr>
          <w:lang w:val="en-US"/>
        </w:rPr>
        <w:t xml:space="preserve">In addition to the clusters shown in Figure </w:t>
      </w:r>
      <w:r w:rsidR="00873127">
        <w:rPr>
          <w:lang w:val="en-US"/>
        </w:rPr>
        <w:t>3A in the main te</w:t>
      </w:r>
      <w:r w:rsidR="005527E2">
        <w:rPr>
          <w:lang w:val="en-US"/>
        </w:rPr>
        <w:t>x</w:t>
      </w:r>
      <w:r w:rsidR="00873127">
        <w:rPr>
          <w:lang w:val="en-US"/>
        </w:rPr>
        <w:t xml:space="preserve">t, </w:t>
      </w:r>
      <w:r w:rsidR="00F75148">
        <w:rPr>
          <w:lang w:val="en-US"/>
        </w:rPr>
        <w:t xml:space="preserve">clusters containing </w:t>
      </w:r>
      <w:r w:rsidR="00873127">
        <w:rPr>
          <w:lang w:val="en-US"/>
        </w:rPr>
        <w:t>sulfuric acid (H</w:t>
      </w:r>
      <w:r w:rsidR="00873127" w:rsidRPr="00873127">
        <w:rPr>
          <w:vertAlign w:val="subscript"/>
          <w:lang w:val="en-US"/>
        </w:rPr>
        <w:t>2</w:t>
      </w:r>
      <w:r w:rsidR="00873127">
        <w:rPr>
          <w:lang w:val="en-US"/>
        </w:rPr>
        <w:t>SO</w:t>
      </w:r>
      <w:r w:rsidR="00873127" w:rsidRPr="00873127">
        <w:rPr>
          <w:vertAlign w:val="subscript"/>
          <w:lang w:val="en-US"/>
        </w:rPr>
        <w:t>4</w:t>
      </w:r>
      <w:r w:rsidR="00873127">
        <w:rPr>
          <w:lang w:val="en-US"/>
        </w:rPr>
        <w:t>)</w:t>
      </w:r>
      <w:r w:rsidR="00873127" w:rsidRPr="00830361">
        <w:rPr>
          <w:lang w:val="en-US"/>
        </w:rPr>
        <w:t xml:space="preserve"> and iodine </w:t>
      </w:r>
      <w:r w:rsidR="00873127">
        <w:rPr>
          <w:lang w:val="en-US"/>
        </w:rPr>
        <w:t>oxo</w:t>
      </w:r>
      <w:r w:rsidR="00873127" w:rsidRPr="00830361">
        <w:rPr>
          <w:lang w:val="en-US"/>
        </w:rPr>
        <w:t>acid</w:t>
      </w:r>
      <w:r w:rsidR="00F75148">
        <w:rPr>
          <w:lang w:val="en-US"/>
        </w:rPr>
        <w:t>s</w:t>
      </w:r>
      <w:r w:rsidR="00873127" w:rsidRPr="00830361">
        <w:rPr>
          <w:lang w:val="en-US"/>
        </w:rPr>
        <w:t xml:space="preserve"> (HIO</w:t>
      </w:r>
      <w:r w:rsidR="00873127" w:rsidRPr="005E66AB">
        <w:rPr>
          <w:vertAlign w:val="subscript"/>
          <w:lang w:val="en-US"/>
        </w:rPr>
        <w:t>3</w:t>
      </w:r>
      <w:r w:rsidR="00873127" w:rsidRPr="00830361">
        <w:rPr>
          <w:lang w:val="en-US"/>
        </w:rPr>
        <w:t xml:space="preserve"> and HIO</w:t>
      </w:r>
      <w:r w:rsidR="00873127" w:rsidRPr="005E66AB">
        <w:rPr>
          <w:vertAlign w:val="subscript"/>
          <w:lang w:val="en-US"/>
        </w:rPr>
        <w:t>2</w:t>
      </w:r>
      <w:r w:rsidR="00873127" w:rsidRPr="00830361">
        <w:rPr>
          <w:lang w:val="en-US"/>
        </w:rPr>
        <w:t>)</w:t>
      </w:r>
      <w:r w:rsidR="008A7D97">
        <w:rPr>
          <w:lang w:val="en-US"/>
        </w:rPr>
        <w:fldChar w:fldCharType="begin"/>
      </w:r>
      <w:r w:rsidR="008A7D97">
        <w:rPr>
          <w:lang w:val="en-US"/>
        </w:rPr>
        <w:instrText xml:space="preserve"> ADDIN ZOTERO_ITEM CSL_CITATION {"citationID":"AaIFp3X2","properties":{"formattedCitation":"\\super 14\\nosupersub{}","plainCitation":"14","noteIndex":0},"citationItems":[{"id":764,"uris":["http://zotero.org/users/local/CswXc3Re/items/74D3KZAR"],"itemData":{"id":764,"type":"article-journal","abstract":"The main nucleating vapor in the atmosphere is thought to be sulfuric acid (H2SO4), stabilized by ammonia (NH3). However, in marine and polar regions, NH3 is generally low, and H2SO4 is frequently found together with iodine oxoacids [HIOx, i.e., iodic acid (HIO3) and iodous acid (HIO2)]. In experiments performed with the CERN CLOUD (Cosmics Leaving OUtdoor Droplets) chamber, we investigated the interplay of H2SO4 and HIOx during atmospheric particle nucleation. We found that HIOx greatly enhances H2SO4(-NH3) nucleation through two different interactions. First, HIO3 strongly binds with H2SO4 in charged clusters so they drive particle nucleation synergistically. Second, HIO2 substitutes for NH3, forming strongly bound H2SO4-HIO2 acid-base pairs in molecular clusters. Global observations imply that HIOx is enhancing H2SO4(-NH3) nucleation rates 10- to 10,000-fold in marine and polar regions.","container-title":"Science","DOI":"10.1126/science.adh2526","issue":"6676","note":"publisher: American Association for the Advancement of Science","page":"1308-1314","source":"science.org (Atypon)","title":"Iodine oxoacids enhance nucleation of sulfuric acid particles in the atmosphere","volume":"382","author":[{"family":"He","given":"Xu-Cheng"},{"family":"Simon","given":"Mario"},{"family":"Iyer","given":"Siddharth"},{"family":"Xie","given":"Hong-Bin"},{"family":"Rörup","given":"Birte"},{"family":"Shen","given":"Jiali"},{"family":"Finkenzeller","given":"Henning"},{"family":"Stolzenburg","given":"Dominik"},{"family":"Zhang","given":"Rongjie"},{"family":"Baccarini","given":"Andrea"},{"family":"Tham","given":"Yee Jun"},{"family":"Wang","given":"Mingyi"},{"family":"Amanatidis","given":"Stavros"},{"family":"Piedehierro","given":"Ana A."},{"family":"Amorim","given":"Antonio"},{"family":"Baalbaki","given":"Rima"},{"family":"Brasseur","given":"Zoé"},{"family":"Caudillo","given":"Lucía"},{"family":"Chu","given":"Biwu"},{"family":"Dada","given":"Lubna"},{"family":"Duplissy","given":"Jonathan"},{"family":"El Haddad","given":"Imad"},{"family":"Flagan","given":"Richard C."},{"family":"Granzin","given":"Manuel"},{"family":"Hansel","given":"Armin"},{"family":"Heinritzi","given":"Martin"},{"family":"Hofbauer","given":"Victoria"},{"family":"Jokinen","given":"Tuija"},{"family":"Kemppainen","given":"Deniz"},{"family":"Kong","given":"Weimeng"},{"family":"Krechmer","given":"Jordan"},{"family":"Kürten","given":"Andreas"},{"family":"Lamkaddam","given":"Houssni"},{"family":"Lopez","given":"Brandon"},{"family":"Ma","given":"Fangfang"},{"family":"Mahfouz","given":"Naser G. A."},{"family":"Makhmutov","given":"Vladimir"},{"family":"Manninen","given":"Hanna E."},{"family":"Marie","given":"Guillaume"},{"family":"Marten","given":"Ruby"},{"family":"Massabò","given":"Dario"},{"family":"Mauldin","given":"Roy L."},{"family":"Mentler","given":"Bernhard"},{"family":"Onnela","given":"Antti"},{"family":"Petäjä","given":"Tuukka"},{"family":"Pfeifer","given":"Joschka"},{"family":"Philippov","given":"Maxim"},{"family":"Ranjithkumar","given":"Ananth"},{"family":"Rissanen","given":"Matti P."},{"family":"Schobesberger","given":"Siegfried"},{"family":"Scholz","given":"Wiebke"},{"family":"Schulze","given":"Benjamin"},{"family":"Surdu","given":"Mihnea"},{"family":"Thakur","given":"Roseline C."},{"family":"Tomé","given":"António"},{"family":"Wagner","given":"Andrea C."},{"family":"Wang","given":"Dongyu"},{"family":"Wang","given":"Yonghong"},{"family":"Weber","given":"Stefan K."},{"family":"Welti","given":"André"},{"family":"Winkler","given":"Paul M."},{"family":"Zauner-Wieczorek","given":"Marcel"},{"family":"Baltensperger","given":"Urs"},{"family":"Curtius","given":"Joachim"},{"family":"Kurtén","given":"Theo"},{"family":"Worsnop","given":"Douglas R."},{"family":"Volkamer","given":"Rainer"},{"family":"Lehtipalo","given":"Katrianne"},{"family":"Kirkby","given":"Jasper"},{"family":"Donahue","given":"Neil M."},{"family":"Sipilä","given":"Mikko"},{"family":"Kulmala","given":"Markku"}],"issued":{"date-parts":[["2023",12,15]]}}}],"schema":"https://github.com/citation-style-language/schema/raw/master/csl-citation.json"} </w:instrText>
      </w:r>
      <w:r w:rsidR="008A7D97">
        <w:rPr>
          <w:lang w:val="en-US"/>
        </w:rPr>
        <w:fldChar w:fldCharType="separate"/>
      </w:r>
      <w:r w:rsidR="008A7D97" w:rsidRPr="008A7D97">
        <w:rPr>
          <w:rFonts w:ascii="Calibri" w:hAnsi="Calibri" w:cs="Calibri"/>
          <w:szCs w:val="24"/>
          <w:vertAlign w:val="superscript"/>
          <w:lang w:val="en-US"/>
        </w:rPr>
        <w:t>14</w:t>
      </w:r>
      <w:r w:rsidR="008A7D97">
        <w:rPr>
          <w:lang w:val="en-US"/>
        </w:rPr>
        <w:fldChar w:fldCharType="end"/>
      </w:r>
      <w:r w:rsidR="005527E2">
        <w:rPr>
          <w:lang w:val="en-US"/>
        </w:rPr>
        <w:t>, shown by the burgundy and pu</w:t>
      </w:r>
      <w:r w:rsidR="00F75148">
        <w:rPr>
          <w:lang w:val="en-US"/>
        </w:rPr>
        <w:t>rple circles, were</w:t>
      </w:r>
      <w:r w:rsidR="00873127">
        <w:rPr>
          <w:lang w:val="en-US"/>
        </w:rPr>
        <w:t xml:space="preserve"> observed d</w:t>
      </w:r>
      <w:r w:rsidR="001A4C35">
        <w:rPr>
          <w:lang w:val="en-US"/>
        </w:rPr>
        <w:t>uring this</w:t>
      </w:r>
      <w:r w:rsidR="00F75148">
        <w:rPr>
          <w:lang w:val="en-US"/>
        </w:rPr>
        <w:t xml:space="preserve"> event</w:t>
      </w:r>
      <w:r w:rsidR="00873127">
        <w:rPr>
          <w:lang w:val="en-US"/>
        </w:rPr>
        <w:t>.</w:t>
      </w:r>
      <w:r w:rsidR="00F75148">
        <w:rPr>
          <w:lang w:val="en-US"/>
        </w:rPr>
        <w:t xml:space="preserve"> </w:t>
      </w:r>
      <w:r w:rsidR="00602587">
        <w:rPr>
          <w:lang w:val="en-US"/>
        </w:rPr>
        <w:t>N</w:t>
      </w:r>
      <w:r w:rsidR="00850E9A">
        <w:rPr>
          <w:lang w:val="en-US"/>
        </w:rPr>
        <w:t>ote that</w:t>
      </w:r>
      <w:r w:rsidR="00F75148">
        <w:rPr>
          <w:lang w:val="en-US"/>
        </w:rPr>
        <w:t xml:space="preserve"> gas phase</w:t>
      </w:r>
      <w:r w:rsidR="00850E9A">
        <w:rPr>
          <w:lang w:val="en-US"/>
        </w:rPr>
        <w:t xml:space="preserve"> HIO</w:t>
      </w:r>
      <w:r w:rsidR="00850E9A" w:rsidRPr="005E66AB">
        <w:rPr>
          <w:vertAlign w:val="subscript"/>
          <w:lang w:val="en-US"/>
        </w:rPr>
        <w:t>2</w:t>
      </w:r>
      <w:r w:rsidR="00850E9A">
        <w:rPr>
          <w:lang w:val="en-US"/>
        </w:rPr>
        <w:t xml:space="preserve"> was not </w:t>
      </w:r>
      <w:r w:rsidR="00602587">
        <w:rPr>
          <w:lang w:val="en-US"/>
        </w:rPr>
        <w:t xml:space="preserve">reported in our measurements </w:t>
      </w:r>
      <w:r w:rsidR="00AE581D">
        <w:rPr>
          <w:lang w:val="en-US"/>
        </w:rPr>
        <w:t>due to concentrations below the detectable limit.</w:t>
      </w:r>
    </w:p>
    <w:p w14:paraId="22B99BAA" w14:textId="45957DF5" w:rsidR="00117285" w:rsidRDefault="00117285">
      <w:pPr>
        <w:rPr>
          <w:lang w:val="en-US"/>
        </w:rPr>
      </w:pPr>
      <w:r>
        <w:rPr>
          <w:lang w:val="en-US"/>
        </w:rPr>
        <w:br w:type="page"/>
      </w:r>
    </w:p>
    <w:p w14:paraId="2B5226CA" w14:textId="1DEE8482" w:rsidR="0019176F" w:rsidRPr="00117285" w:rsidRDefault="0019176F" w:rsidP="0019176F">
      <w:pPr>
        <w:rPr>
          <w:lang w:val="en-US"/>
        </w:rPr>
      </w:pPr>
      <w:r>
        <w:rPr>
          <w:b/>
          <w:bCs/>
          <w:lang w:val="en-US"/>
        </w:rPr>
        <w:lastRenderedPageBreak/>
        <w:t>Case Study</w:t>
      </w:r>
    </w:p>
    <w:p w14:paraId="09A6D22D" w14:textId="77777777" w:rsidR="0019176F" w:rsidRDefault="0019176F" w:rsidP="0019176F">
      <w:pPr>
        <w:rPr>
          <w:lang w:val="en-US"/>
        </w:rPr>
      </w:pPr>
      <w:r>
        <w:rPr>
          <w:lang w:val="en-US"/>
        </w:rPr>
        <w:t>Here we provide a further description of the case study on February 1, 2023, presented in Figure 4. At the beginning of the event, between 13:00 to 14:00, the prevailing wind direction was from ~330 degrees, or from the direction of the penguin/cormorant colonies on Cockburn Island, as shown in Figure 4A. Between 14:00 to 15:00, the wind direction changed to the direction of the other nearby penguin colony at ~200 degrees. The growing particle mode, shown by the merged particle number size distribution from the NAIS and DMPS data in Figure 4C, remained consistent before and after the wind changed direction, which suggests that this NPF event was occurring on a regional scale.</w:t>
      </w:r>
    </w:p>
    <w:p w14:paraId="5FD9C410" w14:textId="77777777" w:rsidR="0019176F" w:rsidRDefault="0019176F" w:rsidP="0019176F">
      <w:pPr>
        <w:rPr>
          <w:lang w:val="en-US"/>
        </w:rPr>
      </w:pPr>
      <w:r>
        <w:rPr>
          <w:lang w:val="en-US"/>
        </w:rPr>
        <w:t>The event contributed considerably to particle number concentration above typical background concentrations. The reported particle number concentration, the red line in Figure 4C, shows the concentration of particles &gt; 10 nm, as it was measured with a condensation particle counter with a cutoff diameter,</w:t>
      </w:r>
      <w:r w:rsidRPr="00EA47E3">
        <w:rPr>
          <w:lang w:val="en-US"/>
        </w:rPr>
        <w:t xml:space="preserve"> </w:t>
      </w:r>
      <w:r>
        <w:rPr>
          <w:lang w:val="en-US"/>
        </w:rPr>
        <w:t xml:space="preserve">or d50, of 10 nm. During this case study, particle number concentrations exceeded 16 000 </w:t>
      </w:r>
      <w:r w:rsidRPr="00926385">
        <w:rPr>
          <w:lang w:val="en-US"/>
        </w:rPr>
        <w:t>#</w:t>
      </w:r>
      <w:r>
        <w:rPr>
          <w:rFonts w:cstheme="minorHAnsi"/>
          <w:lang w:val="en-US"/>
        </w:rPr>
        <w:t>·</w:t>
      </w:r>
      <w:r w:rsidRPr="00926385">
        <w:rPr>
          <w:lang w:val="en-US"/>
        </w:rPr>
        <w:t>cm</w:t>
      </w:r>
      <w:r w:rsidRPr="00384702">
        <w:rPr>
          <w:vertAlign w:val="superscript"/>
          <w:lang w:val="en-US"/>
        </w:rPr>
        <w:t>-</w:t>
      </w:r>
      <w:r w:rsidRPr="00926385">
        <w:rPr>
          <w:vertAlign w:val="superscript"/>
          <w:lang w:val="en-US"/>
        </w:rPr>
        <w:t>3</w:t>
      </w:r>
      <w:r w:rsidRPr="00926385">
        <w:rPr>
          <w:lang w:val="en-US"/>
        </w:rPr>
        <w:t xml:space="preserve"> </w:t>
      </w:r>
      <w:r>
        <w:rPr>
          <w:lang w:val="en-US"/>
        </w:rPr>
        <w:t xml:space="preserve">between 17:00 to 18:30, whereas the median background particle number concentration during the campaign was below 500 </w:t>
      </w:r>
      <w:r w:rsidRPr="00926385">
        <w:rPr>
          <w:lang w:val="en-US"/>
        </w:rPr>
        <w:t>#</w:t>
      </w:r>
      <w:r>
        <w:rPr>
          <w:rFonts w:cstheme="minorHAnsi"/>
          <w:lang w:val="en-US"/>
        </w:rPr>
        <w:t>·</w:t>
      </w:r>
      <w:r w:rsidRPr="00926385">
        <w:rPr>
          <w:lang w:val="en-US"/>
        </w:rPr>
        <w:t>cm</w:t>
      </w:r>
      <w:r w:rsidRPr="00384702">
        <w:rPr>
          <w:vertAlign w:val="superscript"/>
          <w:lang w:val="en-US"/>
        </w:rPr>
        <w:t>-</w:t>
      </w:r>
      <w:r w:rsidRPr="00926385">
        <w:rPr>
          <w:vertAlign w:val="superscript"/>
          <w:lang w:val="en-US"/>
        </w:rPr>
        <w:t>3</w:t>
      </w:r>
      <w:r>
        <w:rPr>
          <w:lang w:val="en-US"/>
        </w:rPr>
        <w:t xml:space="preserve">. </w:t>
      </w:r>
    </w:p>
    <w:p w14:paraId="40439119" w14:textId="77777777" w:rsidR="0019176F" w:rsidRDefault="0019176F" w:rsidP="0019176F">
      <w:pPr>
        <w:rPr>
          <w:lang w:val="en-US"/>
        </w:rPr>
      </w:pPr>
      <w:r>
        <w:rPr>
          <w:lang w:val="en-US"/>
        </w:rPr>
        <w:t xml:space="preserve">Approximately 6 hours after the start of the regional NPF event, we started measuring in-situ cloud/fog. The number size distribution of larger particles/droplets, as measured by the CDA and presented in Figure 4B, shows a distinct increase in concentration between 18:50 – 19:45. While the CDA is capable of measuring both particles and droplets in the micron size range, the distinct band in the size distribution during this period is due to the presence of fog, which is apparent in the time series of ambient temperature and dew point temperature shown in Figure 4A. We further observed a drop in the particle number (Figure 4C) and gas phase concentrations of all species (Figure 4D) that coincides with the period of fog. Since cloud/fog droplets act as an efficient sink for gases and particles, this result is expected. </w:t>
      </w:r>
    </w:p>
    <w:p w14:paraId="7B224C83" w14:textId="77777777" w:rsidR="0019176F" w:rsidRDefault="0019176F" w:rsidP="0019176F">
      <w:pPr>
        <w:rPr>
          <w:lang w:val="en-US"/>
        </w:rPr>
      </w:pPr>
      <w:r>
        <w:rPr>
          <w:lang w:val="en-US"/>
        </w:rPr>
        <w:t xml:space="preserve">We observed evidence suggesting that these newly formed particles contributed to CCN concentrations and cloud formation during the period of sampling in-situ cloud. First, the CCN number concentrations increased for all supersaturations during this period (Figure 4B). Note that the CCN counter was sampling downstream of the DMA in the DMPS, and therefore, the reported CCN concentrations represent the integrated, size-resolved CCN concentrations obtained during a single scan of the DMPS instead of the total ambient CCN number concentrations. We also observed changes in the size distribution of the DMPS while sampling in fog, as shown in Figure 4C. The number concentration of particles in the Aitken mode increased (&gt; 40 nm), whereas the particle number concentration in the nucleation mode decreased. We expect that the increased Aitken mode particles during this period are cloud droplet residuals, or the particles that result from dried cloud droplets, that have grown larger in diameter via cloud processing by scavenging smaller particles, which is a process that has been demonstrated to yield rapid grown of Aitken mode particles </w:t>
      </w:r>
      <w:r>
        <w:rPr>
          <w:lang w:val="en-US"/>
        </w:rPr>
        <w:fldChar w:fldCharType="begin"/>
      </w:r>
      <w:r>
        <w:rPr>
          <w:lang w:val="en-US"/>
        </w:rPr>
        <w:instrText xml:space="preserve"> ADDIN ZOTERO_ITEM CSL_CITATION {"citationID":"fkEB0TLv","properties":{"formattedCitation":"\\super 10\\nosupersub{}","plainCitation":"10","noteIndex":0},"citationItems":[{"id":727,"uris":["http://zotero.org/users/local/CswXc3Re/items/LQU3K9TE"],"itemData":{"id":727,"type":"article-journal","abstract":"In the Arctic, new particle formation (NPF) and subsequent growth processes are the keys to produce Aitken-mode particles, which under certain conditions can act as cloud condensation nuclei (CCNs). The activation of Aitken-mode particles increases the CCN budget of Arctic low-level clouds and, accordingly, affects Arctic climate forcing. However, the growth mechanism of Aitken-mode particles from NPF into CCN range in the summertime Arctic boundary layer remains a subject of current research. In this combined Arctic cruise field and modeling study, we investigated Aitken-mode particle growth to sizes above 80 nm. A mechanism is suggested that explains how Aitken-mode particles can become CCN without requiring high water vapor supersaturation. Model simulations suggest the formation of semivolatile compounds, such as methanesulfonic acid (MSA) in fog droplets. When the fog droplets evaporate, these compounds repartition from CCNs into the gas phase and into the condensed phase of nonactivated Aitken-mode particles. For MSA, a mass increase factor of 18 is modeled. The postfog redistribution mechanism of semivolatile acidic and basic compounds could explain the observed growth of &amp;gt;20 nm h−1 for 60-nm particles to sizes above 100 nm. Overall, this study implies that the increasing frequency of NPF and fog-related particle processing can affect Arctic cloud properties in the summertime boundary layer.","container-title":"PNAS Nexus","DOI":"10.1093/pnasnexus/pgad124","ISSN":"2752-6542","issue":"5","journalAbbreviation":"PNAS Nexus","page":"pgad124","source":"Silverchair","title":"Rapid growth of Aitken-mode particles during Arctic summer by fog chemical processing and its implication","volume":"2","author":[{"family":"Kecorius","given":"Simonas"},{"family":"Hoffmann","given":"Erik H"},{"family":"Tilgner","given":"Andreas"},{"family":"Barrientos-Velasco","given":"Carola"},{"family":"Pinxteren","given":"Manuela","non-dropping-particle":"van"},{"family":"Zeppenfeld","given":"Sebastian"},{"family":"Vogl","given":"Teresa"},{"family":"Madueño","given":"Leizel"},{"family":"Lovrić","given":"Mario"},{"family":"Wiedensohler","given":"Alfred"},{"family":"Kulmala","given":"Markku"},{"family":"Paasonen","given":"Pauli"},{"family":"Herrmann","given":"Hartmut"}],"issued":{"date-parts":[["2023",5,2]]}}}],"schema":"https://github.com/citation-style-language/schema/raw/master/csl-citation.json"} </w:instrText>
      </w:r>
      <w:r>
        <w:rPr>
          <w:lang w:val="en-US"/>
        </w:rPr>
        <w:fldChar w:fldCharType="separate"/>
      </w:r>
      <w:r w:rsidRPr="00CD5F5F">
        <w:rPr>
          <w:rFonts w:ascii="Calibri" w:hAnsi="Calibri" w:cs="Calibri"/>
          <w:szCs w:val="24"/>
          <w:vertAlign w:val="superscript"/>
          <w:lang w:val="en-US"/>
        </w:rPr>
        <w:t>10</w:t>
      </w:r>
      <w:r>
        <w:rPr>
          <w:lang w:val="en-US"/>
        </w:rPr>
        <w:fldChar w:fldCharType="end"/>
      </w:r>
      <w:r>
        <w:rPr>
          <w:lang w:val="en-US"/>
        </w:rPr>
        <w:t xml:space="preserve">. It is important to note that the DMPS sampled from a total inlet where cloud droplets could enter, and while the DMPS was not operated with a dedicated dryer, the temperature in the measurement container was maintained between 18 – 22 C, such that the aerosol sample was sufficiently dried (relative humidity &lt; 30%) in the inlet prior to size selection in the DMA </w:t>
      </w:r>
      <w:r>
        <w:rPr>
          <w:lang w:val="en-US"/>
        </w:rPr>
        <w:fldChar w:fldCharType="begin"/>
      </w:r>
      <w:r>
        <w:rPr>
          <w:lang w:val="en-US"/>
        </w:rPr>
        <w:instrText xml:space="preserve"> ADDIN ZOTERO_ITEM CSL_CITATION {"citationID":"SbvdyRkP","properties":{"formattedCitation":"\\super 11\\nosupersub{}","plainCitation":"11","noteIndex":0},"citationItems":[{"id":430,"uris":["http://zotero.org/users/local/CswXc3Re/items/8U5KEJI7"],"itemData":{"id":430,"type":"article-journal","abstract":"Aerosol particle optical properties were measured continuously between years 2013–2015 at the Marambio station in the Antarctic Peninsula. Annual cycles of particle scattering and absorption were studied and explained using measured particle chemical composition and the analysis of air mass transport patterns. The particle scattering was found elevated during the winter but the absorption did not show any clear annual cycle. The aerosol single scattering albedo at λ = 637 nm was on average 0.96 ± 0.10, with a median of 0.99. Aerosol scattering Ångström exponent increased during summer, indicating an increasing fraction of ﬁne mode particles. The aerosol was mainly composed of sea salt, sulphate and crustal soil minerals, and most of the particle mass were in the coarse mode. Both the particle absorption and scattering were increased during high wind speeds. This was explained by the dominance of the primary marine sea-spray and wind-blown soil dust sources. In contrast, the back-trajectory analysis suggested that long-range transport has only a minor role as a source of absorbing aerosol at the peninsula.","container-title":"Tellus B: Chemical and Physical Meteorology","DOI":"10.1080/16000889.2017.1414571","ISSN":"1600-0889, 0280-6509","issue":"1","language":"en","page":"1414571","source":"DOI.org (Crossref)","title":"Primary sources control the variability of aerosol optical properties in the Antarctic Peninsula","volume":"70","author":[{"family":"Asmi","given":"Eija"},{"family":"Neitola","given":"Kimmo"},{"family":"Teinilä","given":"Kimmo"},{"family":"Rodriguez","given":"Edith"},{"family":"Virkkula","given":"Aki"},{"family":"Backman","given":"John"},{"family":"Bloss","given":"Matthew"},{"family":"Jokela","given":"Jesse"},{"family":"Lihavainen","given":"Heikki"},{"family":"De Leeuw","given":"Gerrit"},{"family":"Paatero","given":"Jussi"},{"family":"Aaltonen","given":"Veijo"},{"family":"Mei","given":"Miguel"},{"family":"Gambarte","given":"Gonzalo"},{"family":"Copes","given":"Gustavo"},{"family":"Albertini","given":"Marco"},{"family":"Fogwill","given":"Germán Pérez"},{"family":"Ferrara","given":"Jonathan"},{"family":"Barlasina","given":"María Elena"},{"family":"Sánchez","given":"Ricardo"}],"issued":{"date-parts":[["2018",1,1]]}}}],"schema":"https://github.com/citation-style-language/schema/raw/master/csl-citation.json"} </w:instrText>
      </w:r>
      <w:r>
        <w:rPr>
          <w:lang w:val="en-US"/>
        </w:rPr>
        <w:fldChar w:fldCharType="separate"/>
      </w:r>
      <w:r w:rsidRPr="00CD5F5F">
        <w:rPr>
          <w:rFonts w:ascii="Calibri" w:hAnsi="Calibri" w:cs="Calibri"/>
          <w:szCs w:val="24"/>
          <w:vertAlign w:val="superscript"/>
          <w:lang w:val="en-US"/>
        </w:rPr>
        <w:t>11</w:t>
      </w:r>
      <w:r>
        <w:rPr>
          <w:lang w:val="en-US"/>
        </w:rPr>
        <w:fldChar w:fldCharType="end"/>
      </w:r>
      <w:r>
        <w:rPr>
          <w:lang w:val="en-US"/>
        </w:rPr>
        <w:t xml:space="preserve">. Moreover, the size range of these Aitken mode particles is consistent with observations of cloud droplet residuals measured using a counter-flow virtual impactor during in-situ cloud measurements in the Arctic </w:t>
      </w:r>
      <w:r>
        <w:rPr>
          <w:lang w:val="en-US"/>
        </w:rPr>
        <w:fldChar w:fldCharType="begin"/>
      </w:r>
      <w:r>
        <w:rPr>
          <w:lang w:val="en-US"/>
        </w:rPr>
        <w:instrText xml:space="preserve"> ADDIN ZOTERO_ITEM CSL_CITATION {"citationID":"F9g3Sv1l","properties":{"formattedCitation":"\\super 12\\nosupersub{}","plainCitation":"12","noteIndex":0},"citationItems":[{"id":794,"uris":["http://zotero.org/users/local/CswXc3Re/items/U7F7TWWJ"],"itemData":{"id":794,"type":"article-journal","abstract":"To constrain uncertainties in radiative forcings associated with aerosol–cloud interactions, improved understanding of Arctic cloud formation is required, yet long-term measurements of the relevant cloud and aerosol properties remain sparse. We present the first long-term study of cloud residuals, i.e. particles that were involved in cloud formation and cloud processes, in Arctic low-level clouds measured at Zeppelin Observatory, Svalbard. To continuously sample cloud droplets and ice crystals and separate them from non-activated aerosol, a ground-based counter-flow virtual impactor inlet system (GCVI) was used. A detailed evaluation of the GCVI measurements, using concurrent cloud particle size distributions, meteorological parameters, and aerosol measurements, is presented for both warm and cold clouds, and the potential contribution of sampling artefacts is discussed in detail. We find an excellent agreement of the GCVI sampling efficiency of liquid clouds using two independent approaches. The 2-year data set of cloud residual size distributions and number concentrations reveals that the cloud residuals follow the typical seasonal cycle of Arctic aerosol, with a maximum concentration in spring and summer and a minimum concentration in the late autumn and winter months. We observed average activation diameters in the range of 58–78 nm for updraught velocities below 1 m s−1. A cluster analysis also revealed cloud residual size distributions that were dominated by Aitken mode particles down to around 20–30 nm. During the winter months, some of these small particles may be the result of ice, snow, or ice crystal shattering artefacts in the GCVI inlet; however, cloud residuals down to 20 nm in size were also observed during conditions when artefacts are less likely.","container-title":"Atmospheric Chemistry and Physics","DOI":"10.5194/acp-21-8933-2021","ISSN":"1680-7316","issue":"11","language":"English","note":"publisher: Copernicus GmbH","page":"8933-8959","source":"Copernicus Online Journals","title":"A long-term study of cloud residuals from low-level Arctic clouds","volume":"21","author":[{"family":"Karlsson","given":"Linn"},{"family":"Krejci","given":"Radovan"},{"family":"Koike","given":"Makoto"},{"family":"Ebell","given":"Kerstin"},{"family":"Zieger","given":"Paul"}],"issued":{"date-parts":[["2021",6,14]]}}}],"schema":"https://github.com/citation-style-language/schema/raw/master/csl-citation.json"} </w:instrText>
      </w:r>
      <w:r>
        <w:rPr>
          <w:lang w:val="en-US"/>
        </w:rPr>
        <w:fldChar w:fldCharType="separate"/>
      </w:r>
      <w:r w:rsidRPr="00CD5F5F">
        <w:rPr>
          <w:rFonts w:ascii="Calibri" w:hAnsi="Calibri" w:cs="Calibri"/>
          <w:szCs w:val="24"/>
          <w:vertAlign w:val="superscript"/>
          <w:lang w:val="en-US"/>
        </w:rPr>
        <w:t>12</w:t>
      </w:r>
      <w:r>
        <w:rPr>
          <w:lang w:val="en-US"/>
        </w:rPr>
        <w:fldChar w:fldCharType="end"/>
      </w:r>
      <w:r>
        <w:rPr>
          <w:lang w:val="en-US"/>
        </w:rPr>
        <w:t>. The size of the growing nucleation mode particles suggests that supersaturations within the cloud/fog layer were sufficiently high to activate particles as small as ~30 nm, which also agrees with observations of newly formed particles in the central Arctic during late summer and autumn</w:t>
      </w:r>
      <w:r>
        <w:rPr>
          <w:lang w:val="en-US"/>
        </w:rPr>
        <w:fldChar w:fldCharType="begin"/>
      </w:r>
      <w:r>
        <w:rPr>
          <w:lang w:val="en-US"/>
        </w:rPr>
        <w:instrText xml:space="preserve"> ADDIN ZOTERO_ITEM CSL_CITATION {"citationID":"DIpXrimA","properties":{"formattedCitation":"\\super 13\\nosupersub{}","plainCitation":"13","noteIndex":0},"citationItems":[{"id":63,"uris":["http://zotero.org/users/local/CswXc3Re/items/R6MLEAU3"],"itemData":{"id":63,"type":"article-journal","abstract":"In the central Arctic Ocean the formation of clouds and their properties are sensitive to the availability of cloud condensation nuclei (CCN). The vapors responsible for new particle formation (NPF), potentially leading to CCN, have remained unidentified since the first aerosol measurements in 1991. Here, we report that all the observed NPF events from the Arctic Ocean 2018 expedition are driven by iodic acid with little contribution from sulfuric acid. Iodic acid largely explains the growth of ultrafine particles (UFP) in most events. The iodic acid concentration increases significantly from summer towards autumn, possibly linked to the ocean freeze-up and a seasonal rise in ozone. This leads to a one order of magnitude higher UFP concentration in autumn. Measurements of cloud residuals suggest that particles smaller than 30 nm in diameter can activate as CCN. Therefore, iodine NPF has the potential to influence cloud properties over the Arctic Ocean.","container-title":"Nature Communications","DOI":"10.1038/s41467-020-18551-0","ISSN":"20411723","issue":"1","note":"PMID: 33004812\npublisher: Nature Research","title":"Frequent new particle formation over the high Arctic pack ice by enhanced iodine emissions","volume":"11","author":[{"family":"Baccarini","given":"Andrea"},{"family":"Karlsson","given":"Linn"},{"family":"Dommen","given":"Josef"},{"family":"Duplessis","given":"Patrick"},{"family":"Vüllers","given":"Jutta"},{"family":"Brooks","given":"Ian M."},{"family":"Saiz-Lopez","given":"Alfonso"},{"family":"Salter","given":"Matthew"},{"family":"Tjernström","given":"Michael"},{"family":"Baltensperger","given":"Urs"},{"family":"Zieger","given":"Paul"},{"family":"Schmale","given":"Julia"}],"issued":{"date-parts":[["2020",12,1]]}}}],"schema":"https://github.com/citation-style-language/schema/raw/master/csl-citation.json"} </w:instrText>
      </w:r>
      <w:r>
        <w:rPr>
          <w:lang w:val="en-US"/>
        </w:rPr>
        <w:fldChar w:fldCharType="separate"/>
      </w:r>
      <w:r w:rsidRPr="000D5ABC">
        <w:rPr>
          <w:rFonts w:ascii="Calibri" w:hAnsi="Calibri" w:cs="Calibri"/>
          <w:szCs w:val="24"/>
          <w:vertAlign w:val="superscript"/>
          <w:lang w:val="en-US"/>
        </w:rPr>
        <w:t>13</w:t>
      </w:r>
      <w:r>
        <w:rPr>
          <w:lang w:val="en-US"/>
        </w:rPr>
        <w:fldChar w:fldCharType="end"/>
      </w:r>
      <w:r>
        <w:rPr>
          <w:lang w:val="en-US"/>
        </w:rPr>
        <w:t>.</w:t>
      </w:r>
    </w:p>
    <w:p w14:paraId="6DDE3506" w14:textId="77777777" w:rsidR="0019176F" w:rsidRDefault="0019176F" w:rsidP="0019176F">
      <w:pPr>
        <w:rPr>
          <w:lang w:val="en-US"/>
        </w:rPr>
      </w:pPr>
      <w:r>
        <w:rPr>
          <w:lang w:val="en-US"/>
        </w:rPr>
        <w:lastRenderedPageBreak/>
        <w:t xml:space="preserve">The particle growth by cloud processing was sufficient to improve the detection of their chemical composition with the </w:t>
      </w:r>
      <w:r w:rsidRPr="000052C2">
        <w:rPr>
          <w:lang w:val="en-US"/>
        </w:rPr>
        <w:t>time-of-flight aerosol chemical speciation monitor (ToF-ACSM)</w:t>
      </w:r>
      <w:r>
        <w:rPr>
          <w:lang w:val="en-US"/>
        </w:rPr>
        <w:t xml:space="preserve"> while sampling in fog, as shown in Figure S3. In general, the background particle mass concentration of particles in the size range detectable by the ToF-ACSM (&gt; ~40nm) was too low for consistent chemical composition measurements above the detection limit. During the case study, we observed that aerosol chemical composition was dominated by sulfate and ammonium, which further suggests a strong contribution from marine biogenic sulfur sources and NH</w:t>
      </w:r>
      <w:r w:rsidRPr="00A22471">
        <w:rPr>
          <w:vertAlign w:val="subscript"/>
          <w:lang w:val="en-US"/>
        </w:rPr>
        <w:t>3</w:t>
      </w:r>
      <w:r>
        <w:rPr>
          <w:lang w:val="en-US"/>
        </w:rPr>
        <w:t xml:space="preserve"> from penguins/seabirds. This agrees with the results presented in </w:t>
      </w:r>
      <w:r w:rsidRPr="002C0772">
        <w:rPr>
          <w:lang w:val="en-US"/>
        </w:rPr>
        <w:t>Asmi et al.</w:t>
      </w:r>
      <w:r>
        <w:rPr>
          <w:lang w:val="en-US"/>
        </w:rPr>
        <w:fldChar w:fldCharType="begin"/>
      </w:r>
      <w:r>
        <w:rPr>
          <w:lang w:val="en-US"/>
        </w:rPr>
        <w:instrText xml:space="preserve"> ADDIN ZOTERO_ITEM CSL_CITATION {"citationID":"FYfHKmIK","properties":{"formattedCitation":"\\super 11\\nosupersub{}","plainCitation":"11","noteIndex":0},"citationItems":[{"id":430,"uris":["http://zotero.org/users/local/CswXc3Re/items/8U5KEJI7"],"itemData":{"id":430,"type":"article-journal","abstract":"Aerosol particle optical properties were measured continuously between years 2013–2015 at the Marambio station in the Antarctic Peninsula. Annual cycles of particle scattering and absorption were studied and explained using measured particle chemical composition and the analysis of air mass transport patterns. The particle scattering was found elevated during the winter but the absorption did not show any clear annual cycle. The aerosol single scattering albedo at λ = 637 nm was on average 0.96 ± 0.10, with a median of 0.99. Aerosol scattering Ångström exponent increased during summer, indicating an increasing fraction of ﬁne mode particles. The aerosol was mainly composed of sea salt, sulphate and crustal soil minerals, and most of the particle mass were in the coarse mode. Both the particle absorption and scattering were increased during high wind speeds. This was explained by the dominance of the primary marine sea-spray and wind-blown soil dust sources. In contrast, the back-trajectory analysis suggested that long-range transport has only a minor role as a source of absorbing aerosol at the peninsula.","container-title":"Tellus B: Chemical and Physical Meteorology","DOI":"10.1080/16000889.2017.1414571","ISSN":"1600-0889, 0280-6509","issue":"1","language":"en","page":"1414571","source":"DOI.org (Crossref)","title":"Primary sources control the variability of aerosol optical properties in the Antarctic Peninsula","volume":"70","author":[{"family":"Asmi","given":"Eija"},{"family":"Neitola","given":"Kimmo"},{"family":"Teinilä","given":"Kimmo"},{"family":"Rodriguez","given":"Edith"},{"family":"Virkkula","given":"Aki"},{"family":"Backman","given":"John"},{"family":"Bloss","given":"Matthew"},{"family":"Jokela","given":"Jesse"},{"family":"Lihavainen","given":"Heikki"},{"family":"De Leeuw","given":"Gerrit"},{"family":"Paatero","given":"Jussi"},{"family":"Aaltonen","given":"Veijo"},{"family":"Mei","given":"Miguel"},{"family":"Gambarte","given":"Gonzalo"},{"family":"Copes","given":"Gustavo"},{"family":"Albertini","given":"Marco"},{"family":"Fogwill","given":"Germán Pérez"},{"family":"Ferrara","given":"Jonathan"},{"family":"Barlasina","given":"María Elena"},{"family":"Sánchez","given":"Ricardo"}],"issued":{"date-parts":[["2018",1,1]]}}}],"schema":"https://github.com/citation-style-language/schema/raw/master/csl-citation.json"} </w:instrText>
      </w:r>
      <w:r>
        <w:rPr>
          <w:lang w:val="en-US"/>
        </w:rPr>
        <w:fldChar w:fldCharType="separate"/>
      </w:r>
      <w:r w:rsidRPr="00730388">
        <w:rPr>
          <w:rFonts w:ascii="Calibri" w:hAnsi="Calibri" w:cs="Calibri"/>
          <w:szCs w:val="24"/>
          <w:vertAlign w:val="superscript"/>
          <w:lang w:val="en-US"/>
        </w:rPr>
        <w:t>11</w:t>
      </w:r>
      <w:r>
        <w:rPr>
          <w:lang w:val="en-US"/>
        </w:rPr>
        <w:fldChar w:fldCharType="end"/>
      </w:r>
      <w:r>
        <w:rPr>
          <w:lang w:val="en-US"/>
        </w:rPr>
        <w:t xml:space="preserve"> (</w:t>
      </w:r>
      <w:r w:rsidRPr="002C0772">
        <w:rPr>
          <w:lang w:val="en-US"/>
        </w:rPr>
        <w:t>2018</w:t>
      </w:r>
      <w:r>
        <w:rPr>
          <w:lang w:val="en-US"/>
        </w:rPr>
        <w:t>), which</w:t>
      </w:r>
      <w:r w:rsidRPr="002C0772">
        <w:rPr>
          <w:lang w:val="en-US"/>
        </w:rPr>
        <w:t xml:space="preserve"> show</w:t>
      </w:r>
      <w:r>
        <w:rPr>
          <w:lang w:val="en-US"/>
        </w:rPr>
        <w:t xml:space="preserve"> that</w:t>
      </w:r>
      <w:r w:rsidRPr="002C0772">
        <w:rPr>
          <w:lang w:val="en-US"/>
        </w:rPr>
        <w:t xml:space="preserve"> there is consistently ammonium present</w:t>
      </w:r>
      <w:r>
        <w:rPr>
          <w:lang w:val="en-US"/>
        </w:rPr>
        <w:t xml:space="preserve"> in aerosol composition during summer at Marambio</w:t>
      </w:r>
      <w:r w:rsidRPr="002C0772">
        <w:rPr>
          <w:lang w:val="en-US"/>
        </w:rPr>
        <w:t xml:space="preserve">, especially </w:t>
      </w:r>
      <w:r>
        <w:rPr>
          <w:lang w:val="en-US"/>
        </w:rPr>
        <w:t>the period between</w:t>
      </w:r>
      <w:r w:rsidRPr="002C0772">
        <w:rPr>
          <w:lang w:val="en-US"/>
        </w:rPr>
        <w:t xml:space="preserve"> Nov</w:t>
      </w:r>
      <w:r>
        <w:rPr>
          <w:lang w:val="en-US"/>
        </w:rPr>
        <w:t xml:space="preserve">ember to </w:t>
      </w:r>
      <w:r w:rsidRPr="002C0772">
        <w:rPr>
          <w:lang w:val="en-US"/>
        </w:rPr>
        <w:t>January</w:t>
      </w:r>
      <w:r>
        <w:rPr>
          <w:lang w:val="en-US"/>
        </w:rPr>
        <w:t xml:space="preserve">, at high </w:t>
      </w:r>
      <w:r w:rsidRPr="002C0772">
        <w:rPr>
          <w:lang w:val="en-US"/>
        </w:rPr>
        <w:t xml:space="preserve">enough </w:t>
      </w:r>
      <w:r>
        <w:rPr>
          <w:lang w:val="en-US"/>
        </w:rPr>
        <w:t xml:space="preserve">concentrations </w:t>
      </w:r>
      <w:r w:rsidRPr="002C0772">
        <w:rPr>
          <w:lang w:val="en-US"/>
        </w:rPr>
        <w:t xml:space="preserve">to neutralize </w:t>
      </w:r>
      <w:r>
        <w:rPr>
          <w:lang w:val="en-US"/>
        </w:rPr>
        <w:t xml:space="preserve">particle acidity related to </w:t>
      </w:r>
      <w:r w:rsidRPr="002C0772">
        <w:rPr>
          <w:lang w:val="en-US"/>
        </w:rPr>
        <w:t>sulfuric aci</w:t>
      </w:r>
      <w:r>
        <w:rPr>
          <w:lang w:val="en-US"/>
        </w:rPr>
        <w:t>d composition.</w:t>
      </w:r>
    </w:p>
    <w:p w14:paraId="00A515B4" w14:textId="77777777" w:rsidR="0019176F" w:rsidRDefault="0019176F" w:rsidP="0019176F">
      <w:pPr>
        <w:rPr>
          <w:lang w:val="en-US"/>
        </w:rPr>
      </w:pPr>
      <w:r>
        <w:rPr>
          <w:lang w:val="en-US"/>
        </w:rPr>
        <w:t xml:space="preserve"> </w:t>
      </w:r>
    </w:p>
    <w:p w14:paraId="583E4ADE" w14:textId="77777777" w:rsidR="0019176F" w:rsidRPr="00330D70" w:rsidRDefault="0019176F" w:rsidP="0019176F">
      <w:pPr>
        <w:rPr>
          <w:lang w:val="en-US"/>
        </w:rPr>
      </w:pPr>
      <w:r>
        <w:rPr>
          <w:noProof/>
          <w:lang w:val="en-US"/>
        </w:rPr>
        <w:drawing>
          <wp:inline distT="0" distB="0" distL="0" distR="0" wp14:anchorId="51DE1604" wp14:editId="4FFF750A">
            <wp:extent cx="5731510" cy="4967605"/>
            <wp:effectExtent l="0" t="0" r="2540" b="4445"/>
            <wp:docPr id="117123620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36208" name="Picture 1" descr="A graph of different colored lin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967605"/>
                    </a:xfrm>
                    <a:prstGeom prst="rect">
                      <a:avLst/>
                    </a:prstGeom>
                  </pic:spPr>
                </pic:pic>
              </a:graphicData>
            </a:graphic>
          </wp:inline>
        </w:drawing>
      </w:r>
    </w:p>
    <w:p w14:paraId="68CB147E" w14:textId="20C2BD74" w:rsidR="0019176F" w:rsidRDefault="0019176F" w:rsidP="0019176F">
      <w:pPr>
        <w:rPr>
          <w:lang w:val="en-US"/>
        </w:rPr>
      </w:pPr>
      <w:r w:rsidRPr="00FE17F7">
        <w:rPr>
          <w:b/>
          <w:bCs/>
          <w:lang w:val="en-US"/>
        </w:rPr>
        <w:t>Fig</w:t>
      </w:r>
      <w:r>
        <w:rPr>
          <w:b/>
          <w:bCs/>
          <w:lang w:val="en-US"/>
        </w:rPr>
        <w:t>ure</w:t>
      </w:r>
      <w:r w:rsidRPr="00FE17F7">
        <w:rPr>
          <w:b/>
          <w:bCs/>
          <w:lang w:val="en-US"/>
        </w:rPr>
        <w:t xml:space="preserve"> S</w:t>
      </w:r>
      <w:r w:rsidR="00C4673A">
        <w:rPr>
          <w:b/>
          <w:bCs/>
          <w:lang w:val="en-US"/>
        </w:rPr>
        <w:t>4</w:t>
      </w:r>
      <w:r w:rsidRPr="00FE17F7">
        <w:rPr>
          <w:b/>
          <w:bCs/>
          <w:lang w:val="en-US"/>
        </w:rPr>
        <w:t>. Aerosol mass concentrations during the case study.</w:t>
      </w:r>
      <w:r>
        <w:rPr>
          <w:lang w:val="en-US"/>
        </w:rPr>
        <w:t xml:space="preserve"> </w:t>
      </w:r>
      <w:r w:rsidRPr="00B8547D">
        <w:rPr>
          <w:lang w:val="en-US"/>
        </w:rPr>
        <w:t>The mass concentrations of the</w:t>
      </w:r>
      <w:r w:rsidRPr="00FE17F7">
        <w:rPr>
          <w:lang w:val="en-US"/>
        </w:rPr>
        <w:t xml:space="preserve"> </w:t>
      </w:r>
      <w:r w:rsidRPr="00100507">
        <w:rPr>
          <w:b/>
          <w:bCs/>
          <w:lang w:val="en-US"/>
        </w:rPr>
        <w:t>A)</w:t>
      </w:r>
      <w:r>
        <w:rPr>
          <w:lang w:val="en-US"/>
        </w:rPr>
        <w:t xml:space="preserve"> </w:t>
      </w:r>
      <w:r w:rsidRPr="00B8547D">
        <w:rPr>
          <w:lang w:val="en-US"/>
        </w:rPr>
        <w:t>sulfate (red line)</w:t>
      </w:r>
      <w:r>
        <w:rPr>
          <w:lang w:val="en-US"/>
        </w:rPr>
        <w:t>,</w:t>
      </w:r>
      <w:r w:rsidRPr="00B8547D">
        <w:rPr>
          <w:lang w:val="en-US"/>
        </w:rPr>
        <w:t xml:space="preserve"> </w:t>
      </w:r>
      <w:r w:rsidRPr="00100507">
        <w:rPr>
          <w:b/>
          <w:bCs/>
          <w:lang w:val="en-US"/>
        </w:rPr>
        <w:t>B)</w:t>
      </w:r>
      <w:r>
        <w:rPr>
          <w:lang w:val="en-US"/>
        </w:rPr>
        <w:t xml:space="preserve"> </w:t>
      </w:r>
      <w:r w:rsidRPr="00B8547D">
        <w:rPr>
          <w:lang w:val="en-US"/>
        </w:rPr>
        <w:t>ammonium (</w:t>
      </w:r>
      <w:r>
        <w:rPr>
          <w:lang w:val="en-US"/>
        </w:rPr>
        <w:t>blue</w:t>
      </w:r>
      <w:r w:rsidRPr="00B8547D">
        <w:rPr>
          <w:lang w:val="en-US"/>
        </w:rPr>
        <w:t xml:space="preserve"> line), </w:t>
      </w:r>
      <w:r w:rsidRPr="00100507">
        <w:rPr>
          <w:b/>
          <w:bCs/>
          <w:lang w:val="en-US"/>
        </w:rPr>
        <w:t>C)</w:t>
      </w:r>
      <w:r>
        <w:rPr>
          <w:lang w:val="en-US"/>
        </w:rPr>
        <w:t xml:space="preserve"> </w:t>
      </w:r>
      <w:r w:rsidRPr="00B8547D">
        <w:rPr>
          <w:lang w:val="en-US"/>
        </w:rPr>
        <w:t>organics (</w:t>
      </w:r>
      <w:r>
        <w:rPr>
          <w:lang w:val="en-US"/>
        </w:rPr>
        <w:t>green</w:t>
      </w:r>
      <w:r w:rsidRPr="00B8547D">
        <w:rPr>
          <w:lang w:val="en-US"/>
        </w:rPr>
        <w:t xml:space="preserve"> line),</w:t>
      </w:r>
      <w:r>
        <w:rPr>
          <w:lang w:val="en-US"/>
        </w:rPr>
        <w:t xml:space="preserve"> </w:t>
      </w:r>
      <w:r w:rsidRPr="00100507">
        <w:rPr>
          <w:b/>
          <w:bCs/>
          <w:lang w:val="en-US"/>
        </w:rPr>
        <w:t>D)</w:t>
      </w:r>
      <w:r>
        <w:rPr>
          <w:lang w:val="en-US"/>
        </w:rPr>
        <w:t xml:space="preserve"> </w:t>
      </w:r>
      <w:r w:rsidRPr="00B8547D">
        <w:rPr>
          <w:lang w:val="en-US"/>
        </w:rPr>
        <w:t>nitrate (orange line)</w:t>
      </w:r>
      <w:r>
        <w:rPr>
          <w:lang w:val="en-US"/>
        </w:rPr>
        <w:t>,</w:t>
      </w:r>
      <w:r w:rsidRPr="00B8547D">
        <w:rPr>
          <w:lang w:val="en-US"/>
        </w:rPr>
        <w:t xml:space="preserve"> and</w:t>
      </w:r>
      <w:r>
        <w:rPr>
          <w:lang w:val="en-US"/>
        </w:rPr>
        <w:t xml:space="preserve"> </w:t>
      </w:r>
      <w:r w:rsidRPr="00100507">
        <w:rPr>
          <w:b/>
          <w:bCs/>
          <w:lang w:val="en-US"/>
        </w:rPr>
        <w:t>E)</w:t>
      </w:r>
      <w:r>
        <w:rPr>
          <w:lang w:val="en-US"/>
        </w:rPr>
        <w:t xml:space="preserve"> chloride (purple line)</w:t>
      </w:r>
      <w:r w:rsidRPr="00B8547D">
        <w:rPr>
          <w:lang w:val="en-US"/>
        </w:rPr>
        <w:t xml:space="preserve"> in the aerosol phase. </w:t>
      </w:r>
      <w:r>
        <w:rPr>
          <w:lang w:val="en-US"/>
        </w:rPr>
        <w:t>The</w:t>
      </w:r>
      <w:r w:rsidRPr="00B8547D">
        <w:rPr>
          <w:lang w:val="en-US"/>
        </w:rPr>
        <w:t xml:space="preserve"> </w:t>
      </w:r>
      <w:r>
        <w:rPr>
          <w:lang w:val="en-US"/>
        </w:rPr>
        <w:t>detection</w:t>
      </w:r>
      <w:r w:rsidRPr="00B8547D">
        <w:rPr>
          <w:lang w:val="en-US"/>
        </w:rPr>
        <w:t xml:space="preserve"> limits for each species are </w:t>
      </w:r>
      <w:r>
        <w:rPr>
          <w:lang w:val="en-US"/>
        </w:rPr>
        <w:t>shown by the shaded region.</w:t>
      </w:r>
    </w:p>
    <w:p w14:paraId="330A4051" w14:textId="77777777" w:rsidR="0019176F" w:rsidRDefault="0019176F" w:rsidP="00830361">
      <w:pPr>
        <w:rPr>
          <w:lang w:val="en-US"/>
        </w:rPr>
      </w:pPr>
    </w:p>
    <w:p w14:paraId="537F815E" w14:textId="77777777" w:rsidR="007128AA" w:rsidRDefault="007128AA" w:rsidP="00830361">
      <w:pPr>
        <w:rPr>
          <w:lang w:val="en-US"/>
        </w:rPr>
      </w:pPr>
    </w:p>
    <w:p w14:paraId="050D417F" w14:textId="77777777" w:rsidR="007128AA" w:rsidRPr="00CE0B27" w:rsidRDefault="007128AA" w:rsidP="007128AA">
      <w:pPr>
        <w:rPr>
          <w:lang w:val="en-US"/>
        </w:rPr>
      </w:pPr>
      <w:r>
        <w:rPr>
          <w:noProof/>
          <w:lang w:val="en-US"/>
        </w:rPr>
        <w:lastRenderedPageBreak/>
        <w:drawing>
          <wp:inline distT="0" distB="0" distL="0" distR="0" wp14:anchorId="6D19D674" wp14:editId="134500F3">
            <wp:extent cx="5731510" cy="4585335"/>
            <wp:effectExtent l="0" t="0" r="2540" b="5715"/>
            <wp:docPr id="6" name="Picture 6" descr="A group of graphs showing different weather condi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graphs showing different weather condition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689667D2" w14:textId="7062A541" w:rsidR="007128AA" w:rsidRPr="00004DA7" w:rsidRDefault="007128AA" w:rsidP="007128AA">
      <w:pPr>
        <w:rPr>
          <w:lang w:val="en-US"/>
        </w:rPr>
      </w:pPr>
      <w:r>
        <w:rPr>
          <w:b/>
          <w:bCs/>
          <w:lang w:val="en-US"/>
        </w:rPr>
        <w:t>Figure S</w:t>
      </w:r>
      <w:r w:rsidR="00C4673A">
        <w:rPr>
          <w:b/>
          <w:bCs/>
          <w:lang w:val="en-US"/>
        </w:rPr>
        <w:t>5</w:t>
      </w:r>
      <w:r>
        <w:rPr>
          <w:b/>
          <w:bCs/>
          <w:lang w:val="en-US"/>
        </w:rPr>
        <w:t xml:space="preserve">. Frequency of meteorological observations during the campaign. </w:t>
      </w:r>
      <w:r>
        <w:rPr>
          <w:lang w:val="en-US"/>
        </w:rPr>
        <w:t xml:space="preserve">The range of conditions and associated frequency of observations are shown for 10-minute averages of </w:t>
      </w:r>
      <w:r w:rsidRPr="0050649F">
        <w:rPr>
          <w:b/>
          <w:bCs/>
          <w:lang w:val="en-US"/>
        </w:rPr>
        <w:t>A)</w:t>
      </w:r>
      <w:r>
        <w:rPr>
          <w:lang w:val="en-US"/>
        </w:rPr>
        <w:t xml:space="preserve"> temperature, </w:t>
      </w:r>
      <w:r w:rsidRPr="0050649F">
        <w:rPr>
          <w:b/>
          <w:bCs/>
          <w:lang w:val="en-US"/>
        </w:rPr>
        <w:t>B)</w:t>
      </w:r>
      <w:r>
        <w:rPr>
          <w:lang w:val="en-US"/>
        </w:rPr>
        <w:t xml:space="preserve"> relative humidity, </w:t>
      </w:r>
      <w:r w:rsidRPr="0050649F">
        <w:rPr>
          <w:b/>
          <w:bCs/>
          <w:lang w:val="en-US"/>
        </w:rPr>
        <w:t>C)</w:t>
      </w:r>
      <w:r>
        <w:rPr>
          <w:lang w:val="en-US"/>
        </w:rPr>
        <w:t xml:space="preserve"> wind direction, and </w:t>
      </w:r>
      <w:r w:rsidRPr="0050649F">
        <w:rPr>
          <w:b/>
          <w:bCs/>
          <w:lang w:val="en-US"/>
        </w:rPr>
        <w:t>D)</w:t>
      </w:r>
      <w:r>
        <w:rPr>
          <w:lang w:val="en-US"/>
        </w:rPr>
        <w:t xml:space="preserve"> global radiation. The shaded gray bars on each plot show the conditions during which NPF were observed.</w:t>
      </w:r>
    </w:p>
    <w:p w14:paraId="6C88490F" w14:textId="2F1BB473" w:rsidR="002D166E" w:rsidRPr="007128AA" w:rsidRDefault="007128AA" w:rsidP="002D166E">
      <w:pPr>
        <w:rPr>
          <w:lang w:val="en-US"/>
        </w:rPr>
      </w:pPr>
      <w:r>
        <w:rPr>
          <w:lang w:val="en-US"/>
        </w:rPr>
        <w:br w:type="page"/>
      </w:r>
      <w:r w:rsidR="002D166E" w:rsidRPr="004C7036">
        <w:rPr>
          <w:b/>
          <w:bCs/>
          <w:lang w:val="en-US"/>
        </w:rPr>
        <w:lastRenderedPageBreak/>
        <w:t>Ammonia measurements</w:t>
      </w:r>
    </w:p>
    <w:p w14:paraId="4367B750" w14:textId="77777777" w:rsidR="002D166E" w:rsidRPr="004C7036" w:rsidRDefault="002D166E" w:rsidP="002D166E">
      <w:pPr>
        <w:rPr>
          <w:b/>
          <w:bCs/>
          <w:lang w:val="en-US"/>
        </w:rPr>
      </w:pPr>
      <w:r>
        <w:rPr>
          <w:b/>
          <w:bCs/>
          <w:lang w:val="en-US"/>
        </w:rPr>
        <w:t>Instrument overview</w:t>
      </w:r>
    </w:p>
    <w:p w14:paraId="7CF0636E" w14:textId="0033C8F4" w:rsidR="002D166E" w:rsidRDefault="002D166E" w:rsidP="002D166E">
      <w:pPr>
        <w:rPr>
          <w:lang w:val="en-US"/>
        </w:rPr>
      </w:pPr>
      <w:r>
        <w:rPr>
          <w:lang w:val="en-US"/>
        </w:rPr>
        <w:t>NH</w:t>
      </w:r>
      <w:r w:rsidRPr="005245E7">
        <w:rPr>
          <w:vertAlign w:val="subscript"/>
          <w:lang w:val="en-US"/>
        </w:rPr>
        <w:t>3</w:t>
      </w:r>
      <w:r>
        <w:rPr>
          <w:lang w:val="en-US"/>
        </w:rPr>
        <w:t xml:space="preserve"> mixing ratios were measured using a Quantum Cascade Tunable Infrared Laser Differential Absorption Spectrometer (</w:t>
      </w:r>
      <w:r w:rsidRPr="00AA120D">
        <w:rPr>
          <w:lang w:val="en-US"/>
        </w:rPr>
        <w:t>QC-TILDAS</w:t>
      </w:r>
      <w:r>
        <w:rPr>
          <w:lang w:val="en-US"/>
        </w:rPr>
        <w:t xml:space="preserve">, </w:t>
      </w:r>
      <w:r w:rsidRPr="00AA120D">
        <w:rPr>
          <w:lang w:val="en-US"/>
        </w:rPr>
        <w:t>Aerodyne Research</w:t>
      </w:r>
      <w:r>
        <w:rPr>
          <w:lang w:val="en-US"/>
        </w:rPr>
        <w:t xml:space="preserve">, </w:t>
      </w:r>
      <w:r w:rsidRPr="00AA120D">
        <w:rPr>
          <w:lang w:val="en-US"/>
        </w:rPr>
        <w:t>Inc.</w:t>
      </w:r>
      <w:r>
        <w:rPr>
          <w:lang w:val="en-US"/>
        </w:rPr>
        <w:t>). The NH</w:t>
      </w:r>
      <w:r w:rsidRPr="005245E7">
        <w:rPr>
          <w:vertAlign w:val="subscript"/>
          <w:lang w:val="en-US"/>
        </w:rPr>
        <w:t>3</w:t>
      </w:r>
      <w:r>
        <w:rPr>
          <w:lang w:val="en-US"/>
        </w:rPr>
        <w:t xml:space="preserve"> QC-TILDAS instrument has been previously described by others</w:t>
      </w:r>
      <w:r>
        <w:rPr>
          <w:lang w:val="en-US"/>
        </w:rPr>
        <w:fldChar w:fldCharType="begin"/>
      </w:r>
      <w:r>
        <w:rPr>
          <w:lang w:val="en-US"/>
        </w:rPr>
        <w:instrText xml:space="preserve"> ADDIN ZOTERO_ITEM CSL_CITATION {"citationID":"eXIvnig5","properties":{"formattedCitation":"\\super 1,2\\nosupersub{}","plainCitation":"1,2","noteIndex":0},"citationItems":[{"id":782,"uris":["http://zotero.org/users/local/CswXc3Re/items/5U9S663M"],"itemData":{"id":782,"type":"article-journal","abstract":"A compact, fast-response Quantum Cascade Tunable Infrared Laser Differential Absorption Spectrometer (QC-TILDAS) for measurements of ammonia (NH3) has been evaluated under both laboratory and field conditions. Absorption of radiation from a pulsed, thermoelectrically cooled QC laser occurs at reduced pressure in a 0.5 L multiple pass absorption cell with an effective path length of 76 m. Detection is achieved using a thermoelectrically-cooled Mercury Cadmium Telluride (HgCdTe) infrared detector. A novel sampling inlet was used, consisting of a short, heated, quartz tube with a hydrophobic coating to minimize the adsorption of NH3 to surfaces. The inlet contains a critical orifice that reduces the pressure, a virtual impactor for separation of particles, and additional ports for delivering NH3-free background air and calibration gas standards. The level of noise in this instrument has been found to be 0.23 ppb at 1 Hz. The sampling technique has been compared to the results of a conventional lead salt Tunable Diode Laser Absorption Spectrometer (TDLAS) during a laboratory intercomparison. The effect of humidity and heat on the surface interaction of NH3 with sample tubing was investigated at mixing ratios ranging from 30–1000 ppb. Humidity was seen to worsen the NH3 time response and considerable improvement was observed when using a heated sampling line. A field intercomparison of the QC-TILDAS with a modified Thermo 42CTL chemiluminescence-based analyzer was also performed at Environment Canada's Centre for Atmospheric Research Experiments (CARE) in the rural town of Egbert, ON between May–July 2008. Background tests and calibrations using two different permeation tube sources and an NH3 gas cylinder were regularly carried out throughout the study. Results indicate a very good correlation at 1 min time resolution (R2 = 0.93) between the two instruments at the beginning of the study, when regular background subtraction was applied to the QC-TILDAS. An overall good correlation of R2 = 0.85 was obtained over the entire two month data set, where the majority of the spread can be attributed to differences in inlet design and background subtraction methods.","container-title":"Atmospheric Measurement Techniques","DOI":"10.5194/amt-3-397-2010","ISSN":"1867-1381","issue":"2","language":"English","note":"publisher: Copernicus GmbH","page":"397-406","source":"Copernicus Online Journals","title":"Characterizing a Quantum Cascade Tunable Infrared Laser Differential Absorption Spectrometer (QC-TILDAS) for measurements of atmospheric ammonia","volume":"3","author":[{"family":"Ellis","given":"R. A."},{"family":"Murphy","given":"J. G."},{"family":"Pattey","given":"E."},{"family":"Haarlem","given":"R.","non-dropping-particle":"van"},{"family":"O'Brien","given":"J. M."},{"family":"Herndon","given":"S. C."}],"issued":{"date-parts":[["2010",3,30]]}}},{"id":784,"uris":["http://zotero.org/users/local/CswXc3Re/items/C952RB89"],"itemData":{"id":784,"type":"article-journal","abstract":"Measurements of the surface–atmosphere exchange of ammonia (NH3) are necessary to study the emission and deposition processes of NH3 from managed and natural ecosystems. The eddy covariance technique, which is the most direct method for trace gas exchange measurements at the ecosystem level, requires trace gas detection at a fast sample frequency and high precision. In the past, the major limitation for measuring NH3 eddy covariance fluxes has been the slow time response of NH3 measurements due to NH3 adsorption on instrument surfaces. While high-frequency attenuation correction methods are used, large uncertainties in these corrections still exist, which are mainly due to the lack of understanding of the processes that govern the time response. We measured NH3 fluxes over a corn crop field using a quantum cascade laser spectrometer (QCL) that enables measurements of NH3 at a 10&amp;thinsp;Hz measurement frequency. The 5-month measurement period covered a large range of environmental conditions that included both periods of NH3 emission and deposition and allowed us to investigate the time response controlling parameters under field conditions. Without high-frequency loss correction, the median daytime NH3 flux was 8.59&amp;thinsp;ng&amp;thinsp;m−2&amp;thinsp;s−1 during emission and −19.87&amp;thinsp;ng&amp;thinsp;m−2&amp;thinsp;s−1 during deposition periods, with a median daytime random flux error of 1.61&amp;thinsp;ng&amp;thinsp;m−2&amp;thinsp;s−1. The overall median flux detection limit was 2.15&amp;thinsp;ng&amp;thinsp;m−2&amp;thinsp;s−1, leading to only 11.6&amp;thinsp;% of valid flux data below the detection limit. From the flux attenuation analysis, we determined a median flux loss of 17&amp;thinsp;% using the ogive method. No correlations of the flux loss with environmental or analyser parameters (such as humidity or inlet ageing) were found, which was attributed to the uncertainties in the ogive method. Therefore, we propose a new method that simulates the flux loss by using the analyser time response that is determined frequently over the course of the measurement campaign. A correction that uses as a function of the horizontal wind speed and the time response is formulated which accounts for surface ageing and contamination over the course of the experiment. Using this method, the median flux loss was calculated to be 46&amp;thinsp;%, which was substantially higher than with the ogive method.","container-title":"Atmospheric Measurement Techniques","DOI":"10.5194/amt-12-6059-2019","ISSN":"1867-1381","issue":"11","language":"English","note":"publisher: Copernicus GmbH","page":"6059-6078","source":"Copernicus Online Journals","title":"Measurements and quality control of ammonia eddy covariance fluxes: a new strategy for high-frequency attenuation correction","title-short":"Measurements and quality control of ammonia eddy covariance fluxes","volume":"12","author":[{"family":"Moravek","given":"Alexander"},{"family":"Singh","given":"Saumya"},{"family":"Pattey","given":"Elizabeth"},{"family":"Pelletier","given":"Luc"},{"family":"Murphy","given":"Jennifer G."}],"issued":{"date-parts":[["2019",11,21]]}}}],"schema":"https://github.com/citation-style-language/schema/raw/master/csl-citation.json"} </w:instrText>
      </w:r>
      <w:r>
        <w:rPr>
          <w:lang w:val="en-US"/>
        </w:rPr>
        <w:fldChar w:fldCharType="separate"/>
      </w:r>
      <w:r w:rsidRPr="008447AB">
        <w:rPr>
          <w:rFonts w:ascii="Calibri" w:hAnsi="Calibri" w:cs="Calibri"/>
          <w:szCs w:val="24"/>
          <w:vertAlign w:val="superscript"/>
          <w:lang w:val="en-US"/>
        </w:rPr>
        <w:t>1,2</w:t>
      </w:r>
      <w:r>
        <w:rPr>
          <w:lang w:val="en-US"/>
        </w:rPr>
        <w:fldChar w:fldCharType="end"/>
      </w:r>
      <w:r>
        <w:rPr>
          <w:lang w:val="en-US"/>
        </w:rPr>
        <w:t>, however, since the NH</w:t>
      </w:r>
      <w:r w:rsidRPr="005245E7">
        <w:rPr>
          <w:vertAlign w:val="subscript"/>
          <w:lang w:val="en-US"/>
        </w:rPr>
        <w:t>3</w:t>
      </w:r>
      <w:r>
        <w:rPr>
          <w:lang w:val="en-US"/>
        </w:rPr>
        <w:t xml:space="preserve"> measurement is central to this study, especially at low mixing ratios, we will also include a description of its operating principles here. </w:t>
      </w:r>
    </w:p>
    <w:p w14:paraId="2D237E54" w14:textId="3C34609B" w:rsidR="002D166E" w:rsidRDefault="002D166E" w:rsidP="002D166E">
      <w:pPr>
        <w:rPr>
          <w:lang w:val="en-US"/>
        </w:rPr>
      </w:pPr>
      <w:r>
        <w:rPr>
          <w:lang w:val="en-US"/>
        </w:rPr>
        <w:t>A schematic diagram of the NH</w:t>
      </w:r>
      <w:r w:rsidRPr="005245E7">
        <w:rPr>
          <w:vertAlign w:val="subscript"/>
          <w:lang w:val="en-US"/>
        </w:rPr>
        <w:t>3</w:t>
      </w:r>
      <w:r>
        <w:rPr>
          <w:lang w:val="en-US"/>
        </w:rPr>
        <w:t xml:space="preserve"> QC-TILDAS is presented in Figure S</w:t>
      </w:r>
      <w:r w:rsidR="00D105A4">
        <w:rPr>
          <w:lang w:val="en-US"/>
        </w:rPr>
        <w:t>6</w:t>
      </w:r>
      <w:r>
        <w:rPr>
          <w:lang w:val="en-US"/>
        </w:rPr>
        <w:t>. The instrument uses a rapidly swept quantum cascade laser operating in the mid-infrared. Since every gas absorbs electromagnetic radiation at specific frequencies, a laser is selected to operate in a specific frequency where the target gas absorbs. For NH</w:t>
      </w:r>
      <w:r w:rsidRPr="005245E7">
        <w:rPr>
          <w:vertAlign w:val="subscript"/>
          <w:lang w:val="en-US"/>
        </w:rPr>
        <w:t>3</w:t>
      </w:r>
      <w:r>
        <w:rPr>
          <w:lang w:val="en-US"/>
        </w:rPr>
        <w:t>, the laser (SBCW</w:t>
      </w:r>
      <w:r w:rsidRPr="00AB1734">
        <w:rPr>
          <w:lang w:val="en-US"/>
        </w:rPr>
        <w:t>17970</w:t>
      </w:r>
      <w:r>
        <w:rPr>
          <w:lang w:val="en-US"/>
        </w:rPr>
        <w:t>, Alpes) emits radiation near the NH</w:t>
      </w:r>
      <w:r w:rsidRPr="005245E7">
        <w:rPr>
          <w:vertAlign w:val="subscript"/>
          <w:lang w:val="en-US"/>
        </w:rPr>
        <w:t>3</w:t>
      </w:r>
      <w:r>
        <w:rPr>
          <w:lang w:val="en-US"/>
        </w:rPr>
        <w:t xml:space="preserve"> absorption peak at 967.3 cm</w:t>
      </w:r>
      <w:r w:rsidRPr="0004221E">
        <w:rPr>
          <w:vertAlign w:val="superscript"/>
          <w:lang w:val="en-US"/>
        </w:rPr>
        <w:t>-1</w:t>
      </w:r>
      <w:r>
        <w:rPr>
          <w:lang w:val="en-US"/>
        </w:rPr>
        <w:t>. The laser temperature is carefully controlled using a Peltier element to ensure stable output. A laser driver then sweeps the laser current at 2000 hz to produce a series of narrow scans (~1 wavenumber) over the NH</w:t>
      </w:r>
      <w:r w:rsidRPr="005245E7">
        <w:rPr>
          <w:vertAlign w:val="subscript"/>
          <w:lang w:val="en-US"/>
        </w:rPr>
        <w:t>3</w:t>
      </w:r>
      <w:r>
        <w:rPr>
          <w:lang w:val="en-US"/>
        </w:rPr>
        <w:t xml:space="preserve"> absorption region. These scans permit the separation of absorption peaks from other gases that absorb light in the range of the given wavenumber scan. The laser output is then directed into an optical table that precisely guides the laser into a multi-pass absorption cell. A vacuum pump continually draws ambient air through the optical absorption cell at reduced pressure. Mirrors at both ends of the absorption cell reflect the laser light through the cell 238 times, resulting in an absorption path length of 76 m. Upon leaving the optical cell, the laser light is directed into a detector. The detector quantifies the attenuation of the laser light that occurs as the light passes through the optical cell during the wavenumber scan, which is due to the absorption by gas molecules present in the ambient sample air within the cell. The resulting absorption spectra are averaged to obtain either 10 hz or 1 second data, where in this study, we used 1 second data. The number of NH</w:t>
      </w:r>
      <w:r w:rsidRPr="005245E7">
        <w:rPr>
          <w:vertAlign w:val="subscript"/>
          <w:lang w:val="en-US"/>
        </w:rPr>
        <w:t>3</w:t>
      </w:r>
      <w:r>
        <w:rPr>
          <w:lang w:val="en-US"/>
        </w:rPr>
        <w:t xml:space="preserve"> molecules in the optical cell can then be determined according to Beer’s Law:</w:t>
      </w:r>
    </w:p>
    <w:p w14:paraId="45B230A9" w14:textId="77777777" w:rsidR="002D166E" w:rsidRPr="00D87779" w:rsidRDefault="002D166E" w:rsidP="002D166E">
      <w:pPr>
        <w:jc w:val="center"/>
        <w:rPr>
          <w:lang w:val="en-US"/>
        </w:rPr>
      </w:pPr>
      <w:bookmarkStart w:id="1" w:name="_Hlk156912082"/>
      <m:oMathPara>
        <m:oMathParaPr>
          <m:jc m:val="left"/>
        </m:oMathParaPr>
        <m:oMath>
          <m:r>
            <w:rPr>
              <w:rFonts w:ascii="Cambria Math" w:hAnsi="Cambria Math"/>
              <w:lang w:val="en-US"/>
            </w:rPr>
            <m:t>N=</m:t>
          </m:r>
          <m:f>
            <m:fPr>
              <m:ctrlPr>
                <w:rPr>
                  <w:rFonts w:ascii="Cambria Math" w:hAnsi="Cambria Math"/>
                  <w:i/>
                  <w:lang w:val="en-US"/>
                </w:rPr>
              </m:ctrlPr>
            </m:fPr>
            <m:num>
              <m:r>
                <w:rPr>
                  <w:rFonts w:ascii="Cambria Math" w:hAnsi="Cambria Math"/>
                  <w:lang w:val="en-US"/>
                </w:rPr>
                <m:t>A</m:t>
              </m:r>
            </m:num>
            <m:den>
              <m:r>
                <w:rPr>
                  <w:rFonts w:ascii="Cambria Math" w:hAnsi="Cambria Math"/>
                  <w:lang w:val="en-US"/>
                </w:rPr>
                <m:t>αL</m:t>
              </m:r>
            </m:den>
          </m:f>
        </m:oMath>
      </m:oMathPara>
    </w:p>
    <w:bookmarkEnd w:id="1"/>
    <w:p w14:paraId="60019C8F" w14:textId="768BF078" w:rsidR="002D166E" w:rsidRDefault="002D166E" w:rsidP="002D166E">
      <w:pPr>
        <w:rPr>
          <w:lang w:val="en-US"/>
        </w:rPr>
      </w:pPr>
      <w:r>
        <w:rPr>
          <w:lang w:val="en-US"/>
        </w:rPr>
        <w:t xml:space="preserve">where N is the number of </w:t>
      </w:r>
      <w:r w:rsidRPr="00EC6131">
        <w:rPr>
          <w:lang w:val="en-US"/>
        </w:rPr>
        <w:t>NH</w:t>
      </w:r>
      <w:r w:rsidRPr="00EC6131">
        <w:rPr>
          <w:vertAlign w:val="subscript"/>
          <w:lang w:val="en-US"/>
        </w:rPr>
        <w:t>3</w:t>
      </w:r>
      <w:r w:rsidR="00EC6131">
        <w:rPr>
          <w:lang w:val="en-US"/>
        </w:rPr>
        <w:t xml:space="preserve"> </w:t>
      </w:r>
      <w:r w:rsidRPr="00EC6131">
        <w:rPr>
          <w:lang w:val="en-US"/>
        </w:rPr>
        <w:t>molecules</w:t>
      </w:r>
      <w:r>
        <w:rPr>
          <w:lang w:val="en-US"/>
        </w:rPr>
        <w:t xml:space="preserve">, A is the measured absorption, </w:t>
      </w:r>
      <w:r>
        <w:rPr>
          <w:rFonts w:cstheme="minorHAnsi"/>
          <w:lang w:val="en-US"/>
        </w:rPr>
        <w:t>α</w:t>
      </w:r>
      <w:r>
        <w:rPr>
          <w:lang w:val="en-US"/>
        </w:rPr>
        <w:t xml:space="preserve"> is the absorption coefficient for NH</w:t>
      </w:r>
      <w:r w:rsidRPr="005245E7">
        <w:rPr>
          <w:vertAlign w:val="subscript"/>
          <w:lang w:val="en-US"/>
        </w:rPr>
        <w:t>3</w:t>
      </w:r>
      <w:r>
        <w:rPr>
          <w:lang w:val="en-US"/>
        </w:rPr>
        <w:t>, and L is the optical path length. Using this technique, N is absolute and does not require a separate calibration for concentration retrieval.</w:t>
      </w:r>
    </w:p>
    <w:p w14:paraId="38DFF9A2" w14:textId="77777777" w:rsidR="002D166E" w:rsidRDefault="002D166E" w:rsidP="002D166E">
      <w:pPr>
        <w:rPr>
          <w:lang w:val="en-US"/>
        </w:rPr>
      </w:pPr>
      <w:r>
        <w:rPr>
          <w:lang w:val="en-US"/>
        </w:rPr>
        <w:t>There are other challenges for obtaining ambient concentrations that are inherent to all absorption spectrometers: 1) the laser output frequency naturally drifts, typically due to changes in temperature; 2) the laser optical output frequency and power typically is not flat across the scan; 3) t</w:t>
      </w:r>
      <w:r w:rsidRPr="008D355F">
        <w:rPr>
          <w:lang w:val="en-US"/>
        </w:rPr>
        <w:t xml:space="preserve">here is stray laser light inside the sampling chamber </w:t>
      </w:r>
      <w:r>
        <w:rPr>
          <w:lang w:val="en-US"/>
        </w:rPr>
        <w:t xml:space="preserve">that </w:t>
      </w:r>
      <w:r w:rsidRPr="008D355F">
        <w:rPr>
          <w:lang w:val="en-US"/>
        </w:rPr>
        <w:t>reaches the detector</w:t>
      </w:r>
      <w:r>
        <w:rPr>
          <w:lang w:val="en-US"/>
        </w:rPr>
        <w:t xml:space="preserve">; and 4) there are optical interferences, called fringes, in the spectra. </w:t>
      </w:r>
      <w:r w:rsidRPr="00CA7A14">
        <w:rPr>
          <w:color w:val="000000" w:themeColor="text1"/>
          <w:lang w:val="en-US"/>
        </w:rPr>
        <w:t xml:space="preserve">To relieve the first issue, we carefully control the laser temperature with a Peltier element and stabilized-temperature </w:t>
      </w:r>
      <w:r>
        <w:rPr>
          <w:color w:val="000000" w:themeColor="text1"/>
          <w:lang w:val="en-US"/>
        </w:rPr>
        <w:t>coolant</w:t>
      </w:r>
      <w:r w:rsidRPr="00CA7A14">
        <w:rPr>
          <w:color w:val="000000" w:themeColor="text1"/>
          <w:lang w:val="en-US"/>
        </w:rPr>
        <w:t xml:space="preserve"> flow through the laser mount</w:t>
      </w:r>
      <w:r>
        <w:rPr>
          <w:color w:val="000000" w:themeColor="text1"/>
          <w:lang w:val="en-US"/>
        </w:rPr>
        <w:t xml:space="preserve"> using</w:t>
      </w:r>
      <w:r w:rsidRPr="00201948">
        <w:rPr>
          <w:lang w:val="en-US"/>
        </w:rPr>
        <w:t xml:space="preserve"> </w:t>
      </w:r>
      <w:r>
        <w:rPr>
          <w:lang w:val="en-US"/>
        </w:rPr>
        <w:t xml:space="preserve">a thermo-electric recirculating chiller (Thermocube T-Three, </w:t>
      </w:r>
      <w:r w:rsidRPr="005D798B">
        <w:rPr>
          <w:lang w:val="en-US"/>
        </w:rPr>
        <w:t>Solid State Cooling Systems, Inc</w:t>
      </w:r>
      <w:r>
        <w:rPr>
          <w:lang w:val="en-US"/>
        </w:rPr>
        <w:t>.). The chiller also provided coolant to housing of the optics box containing the laser, optical table, and absorption cell to minimize effects due to temperature changes. The coolant temperature was controlled by a software feedback loop between the instrument and the chiller. In addition, the NH</w:t>
      </w:r>
      <w:r w:rsidRPr="005245E7">
        <w:rPr>
          <w:vertAlign w:val="subscript"/>
          <w:lang w:val="en-US"/>
        </w:rPr>
        <w:t>3</w:t>
      </w:r>
      <w:r>
        <w:rPr>
          <w:lang w:val="en-US"/>
        </w:rPr>
        <w:t xml:space="preserve"> QC-TILDAS was placed inside of a housing made of insulating foam.</w:t>
      </w:r>
      <w:r w:rsidRPr="00CA7A14">
        <w:rPr>
          <w:color w:val="000000" w:themeColor="text1"/>
          <w:lang w:val="en-US"/>
        </w:rPr>
        <w:t xml:space="preserve"> The nonlinearity</w:t>
      </w:r>
      <w:r>
        <w:rPr>
          <w:color w:val="000000" w:themeColor="text1"/>
          <w:lang w:val="en-US"/>
        </w:rPr>
        <w:t xml:space="preserve"> of the </w:t>
      </w:r>
      <w:r w:rsidRPr="00CA7A14">
        <w:rPr>
          <w:color w:val="000000" w:themeColor="text1"/>
          <w:lang w:val="en-US"/>
        </w:rPr>
        <w:t xml:space="preserve">laser frequency across the scan is measured periodically with a germanium etalon. Effects of nonlinearity </w:t>
      </w:r>
      <w:r>
        <w:rPr>
          <w:color w:val="000000" w:themeColor="text1"/>
          <w:lang w:val="en-US"/>
        </w:rPr>
        <w:t>in</w:t>
      </w:r>
      <w:r w:rsidRPr="00CA7A14">
        <w:rPr>
          <w:color w:val="000000" w:themeColor="text1"/>
          <w:lang w:val="en-US"/>
        </w:rPr>
        <w:t xml:space="preserve"> the laser output power across the scan are minimized</w:t>
      </w:r>
      <w:r>
        <w:rPr>
          <w:color w:val="000000" w:themeColor="text1"/>
          <w:lang w:val="en-US"/>
        </w:rPr>
        <w:t xml:space="preserve"> </w:t>
      </w:r>
      <w:r w:rsidRPr="002D0887">
        <w:rPr>
          <w:lang w:val="en-US"/>
        </w:rPr>
        <w:t xml:space="preserve">by </w:t>
      </w:r>
      <w:r>
        <w:rPr>
          <w:lang w:val="en-US"/>
        </w:rPr>
        <w:t>performing</w:t>
      </w:r>
      <w:r w:rsidRPr="002D0887">
        <w:rPr>
          <w:lang w:val="en-US"/>
        </w:rPr>
        <w:t xml:space="preserve"> regular </w:t>
      </w:r>
      <w:r>
        <w:rPr>
          <w:lang w:val="en-US"/>
        </w:rPr>
        <w:t>“</w:t>
      </w:r>
      <w:r w:rsidRPr="002D0887">
        <w:rPr>
          <w:lang w:val="en-US"/>
        </w:rPr>
        <w:t>background</w:t>
      </w:r>
      <w:r>
        <w:rPr>
          <w:lang w:val="en-US"/>
        </w:rPr>
        <w:t xml:space="preserve">” measurements, i.e., recording </w:t>
      </w:r>
      <w:r w:rsidRPr="002D0887">
        <w:rPr>
          <w:lang w:val="en-US"/>
        </w:rPr>
        <w:t>spectra</w:t>
      </w:r>
      <w:r>
        <w:rPr>
          <w:lang w:val="en-US"/>
        </w:rPr>
        <w:t xml:space="preserve"> without the presence of absorbing gases (zero-air). The ambient concentration is then determined by applying a quantitative fit to the ratio of the ambient air absorption spectra to background spectra. </w:t>
      </w:r>
      <w:r w:rsidRPr="00E41583">
        <w:rPr>
          <w:lang w:val="en-US"/>
        </w:rPr>
        <w:t xml:space="preserve">If interference fringes in the </w:t>
      </w:r>
      <w:r w:rsidRPr="00E41583">
        <w:rPr>
          <w:lang w:val="en-US"/>
        </w:rPr>
        <w:lastRenderedPageBreak/>
        <w:t>spectra do not drift too quickly, then their effects also can be reduced with background ratios</w:t>
      </w:r>
      <w:r>
        <w:rPr>
          <w:lang w:val="en-US"/>
        </w:rPr>
        <w:t>. The background spectra are periodically measured in an automated measurement cycle to determine the baseline for the ambient absorption spectra and to minimize drift in the laser output. For our measurements, we performed a background spectra every 10 minutes.</w:t>
      </w:r>
    </w:p>
    <w:p w14:paraId="037893F9" w14:textId="77777777" w:rsidR="002D166E" w:rsidRDefault="002D166E" w:rsidP="002D166E">
      <w:pPr>
        <w:rPr>
          <w:lang w:val="en-US"/>
        </w:rPr>
      </w:pPr>
      <w:r>
        <w:rPr>
          <w:lang w:val="en-US"/>
        </w:rPr>
        <w:t>Data acquisition was performed using the TDLWintel software</w:t>
      </w:r>
      <w:r>
        <w:rPr>
          <w:lang w:val="en-US"/>
        </w:rPr>
        <w:fldChar w:fldCharType="begin"/>
      </w:r>
      <w:r>
        <w:rPr>
          <w:lang w:val="en-US"/>
        </w:rPr>
        <w:instrText xml:space="preserve"> ADDIN ZOTERO_ITEM CSL_CITATION {"citationID":"iNOZ6at0","properties":{"formattedCitation":"\\super 3\\nosupersub{}","plainCitation":"3","noteIndex":0},"citationItems":[{"id":918,"uris":["http://zotero.org/users/local/CswXc3Re/items/4ZI32G5E"],"itemData":{"id":918,"type":"article-journal","abstract":"A compact, fast response, mid-infrared absorption spectrometer using thermoelectrically (TE) cooled pulsed quantum cascade (QC) lasers and TE detectors has been developed to demonstrate the applicability of QC lasers for high precision measurements of nitrous oxide and methane in the earth’s atmosphere. Reduced pressure extractive sampling with a 56m path length, 0.5l volume, multiple pass absorption cell allows a time response of &lt;0.1s which is suitable for eddy correlation flux measurements for these gases. Precision of 0.3ppb (rms, 1s averaging time) or 0.1% of the ambient concentration for N2O (4ppb or 0.2% of ambient for CH4), has been demonstrated using QC lasers at 4.5μm (7.9μm for CH4), corresponding to an absorbance precision of 4×10−5Hz−1/2 (8×10−5Hz−1/2 for CH4). Stabilization of the temperature of the optical bench and the pulse electronics results in a minimum Allan variance corresponding to 0.06ppb for N2O with an averaging time of 100s (0.7ppb with an averaging time of 200s for CH4). The instrument is capable of long-term, unattended, continuous operation without cryogenic cooling of either laser or detector.","container-title":"Spectrochimica Acta Part A: Molecular and Biomolecular Spectroscopy","DOI":"10.1016/j.saa.2004.01.033","ISSN":"1386-1425","issue":"14","journalAbbreviation":"Spectrochimica Acta Part A: Molecular and Biomolecular Spectroscopy","page":"3325-3335","source":"ScienceDirect","title":"High precision measurements of atmospheric nitrous oxide and methane using thermoelectrically cooled mid-infrared quantum cascade lasers and detectors","volume":"60","author":[{"family":"Nelson","given":"David D."},{"family":"McManus","given":"Barry"},{"family":"Urbanski","given":"Shawn"},{"family":"Herndon","given":"Scott"},{"family":"Zahniser","given":"Mark S."}],"issued":{"date-parts":[["2004",12,1]]}}}],"schema":"https://github.com/citation-style-language/schema/raw/master/csl-citation.json"} </w:instrText>
      </w:r>
      <w:r>
        <w:rPr>
          <w:lang w:val="en-US"/>
        </w:rPr>
        <w:fldChar w:fldCharType="separate"/>
      </w:r>
      <w:r w:rsidRPr="007E2617">
        <w:rPr>
          <w:rFonts w:ascii="Calibri" w:hAnsi="Calibri" w:cs="Calibri"/>
          <w:szCs w:val="24"/>
          <w:vertAlign w:val="superscript"/>
          <w:lang w:val="en-US"/>
        </w:rPr>
        <w:t>3</w:t>
      </w:r>
      <w:r>
        <w:rPr>
          <w:lang w:val="en-US"/>
        </w:rPr>
        <w:fldChar w:fldCharType="end"/>
      </w:r>
      <w:r>
        <w:rPr>
          <w:lang w:val="en-US"/>
        </w:rPr>
        <w:t>. The software controls the hardware components necessary for data collection and performs the spectral analysis to retrieve the mixing ratio of NH</w:t>
      </w:r>
      <w:r w:rsidRPr="005245E7">
        <w:rPr>
          <w:vertAlign w:val="subscript"/>
          <w:lang w:val="en-US"/>
        </w:rPr>
        <w:t>3</w:t>
      </w:r>
      <w:r>
        <w:rPr>
          <w:lang w:val="en-US"/>
        </w:rPr>
        <w:t xml:space="preserve"> from the absorption spectra.</w:t>
      </w:r>
      <w:r w:rsidRPr="00A4713F">
        <w:rPr>
          <w:lang w:val="en-US"/>
        </w:rPr>
        <w:t xml:space="preserve"> </w:t>
      </w:r>
      <w:r>
        <w:rPr>
          <w:lang w:val="en-US"/>
        </w:rPr>
        <w:t>The software also controls the schedules for spectroscopic backgrounds, chiller control, and laser temperature control, which are necessary for zeroing the laser and minimizing instrumental drift. The analysis procedure uses the HITRAN database to perform a fitting routine based on the shape of the absorption spectra.</w:t>
      </w:r>
    </w:p>
    <w:p w14:paraId="43D15BF2" w14:textId="77777777" w:rsidR="002D166E" w:rsidRDefault="002D166E" w:rsidP="002D166E">
      <w:pPr>
        <w:rPr>
          <w:lang w:val="en-US"/>
        </w:rPr>
      </w:pPr>
      <w:r>
        <w:rPr>
          <w:noProof/>
          <w:lang w:val="en-US"/>
        </w:rPr>
        <w:drawing>
          <wp:inline distT="0" distB="0" distL="0" distR="0" wp14:anchorId="220FB247" wp14:editId="7F94937F">
            <wp:extent cx="5731510" cy="4372610"/>
            <wp:effectExtent l="0" t="0" r="0" b="8890"/>
            <wp:docPr id="2046015038" name="Picture 2" descr="A diagram of a gas sam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15038" name="Picture 2" descr="A diagram of a gas sam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72610"/>
                    </a:xfrm>
                    <a:prstGeom prst="rect">
                      <a:avLst/>
                    </a:prstGeom>
                  </pic:spPr>
                </pic:pic>
              </a:graphicData>
            </a:graphic>
          </wp:inline>
        </w:drawing>
      </w:r>
    </w:p>
    <w:p w14:paraId="51C13E5C" w14:textId="42DFDC4B" w:rsidR="002D166E" w:rsidRPr="00495A6F" w:rsidRDefault="002D166E" w:rsidP="002D166E">
      <w:pPr>
        <w:rPr>
          <w:lang w:val="en-US"/>
        </w:rPr>
      </w:pPr>
      <w:r>
        <w:rPr>
          <w:b/>
          <w:bCs/>
          <w:lang w:val="en-US"/>
        </w:rPr>
        <w:t>Figure S</w:t>
      </w:r>
      <w:r w:rsidR="00C4673A">
        <w:rPr>
          <w:b/>
          <w:bCs/>
          <w:lang w:val="en-US"/>
        </w:rPr>
        <w:t>6</w:t>
      </w:r>
      <w:r>
        <w:rPr>
          <w:b/>
          <w:bCs/>
          <w:lang w:val="en-US"/>
        </w:rPr>
        <w:t xml:space="preserve">. A schematic diagram of the </w:t>
      </w:r>
      <w:r w:rsidRPr="005915A2">
        <w:rPr>
          <w:b/>
          <w:bCs/>
          <w:lang w:val="en-US"/>
        </w:rPr>
        <w:t>NH</w:t>
      </w:r>
      <w:r w:rsidRPr="005915A2">
        <w:rPr>
          <w:b/>
          <w:bCs/>
          <w:vertAlign w:val="subscript"/>
          <w:lang w:val="en-US"/>
        </w:rPr>
        <w:t>3</w:t>
      </w:r>
      <w:r>
        <w:rPr>
          <w:b/>
          <w:bCs/>
          <w:lang w:val="en-US"/>
        </w:rPr>
        <w:t xml:space="preserve"> QC-TILDAS operated with an inertial inlet. </w:t>
      </w:r>
      <w:r>
        <w:rPr>
          <w:lang w:val="en-US"/>
        </w:rPr>
        <w:t>Flow configurations in the inlet and their associated flow rates are shown for ambient sampling (orange dashed line) and zero</w:t>
      </w:r>
      <w:r w:rsidR="002B7BED">
        <w:rPr>
          <w:lang w:val="en-US"/>
        </w:rPr>
        <w:t>-</w:t>
      </w:r>
      <w:r>
        <w:rPr>
          <w:lang w:val="en-US"/>
        </w:rPr>
        <w:t>air delivery (blue dashed line). The separate paths of the particle-laden flow and the gas sample flow after the critical orifice are shown by the red dashed line and the green dotted line, respectively, with the percentage of each flow denoted. Arrows are included to highlight the flow directions. The red shaded regions indicate components with temperature control or heating. Note that the components are not drawn to scale for the purpose of highlighting key features. The details of the optical table are not included for simplicity, but can be found in McManus et al.</w:t>
      </w:r>
      <w:r>
        <w:rPr>
          <w:lang w:val="en-US"/>
        </w:rPr>
        <w:fldChar w:fldCharType="begin"/>
      </w:r>
      <w:r>
        <w:rPr>
          <w:lang w:val="en-US"/>
        </w:rPr>
        <w:instrText xml:space="preserve"> ADDIN ZOTERO_ITEM CSL_CITATION {"citationID":"GiR6G1sW","properties":{"formattedCitation":"\\super 4\\nosupersub{}","plainCitation":"4","noteIndex":0},"citationItems":[{"id":863,"uris":["http://zotero.org/users/local/CswXc3Re/items/VHQ8B6X8"],"itemData":{"id":863,"type":"article-journal","abstract":"We have developed a compact instrument for sensitive, rapid and continuous measurement of trace gases in air, with results presented here for methane (CH4), nitric oxide (NO), nitrous oxide (N2O) and ammonia (NH3). This instrument takes advantage of recent technology in quantum cascade (QC) lasers and infrared detectors, which allows high sensitivity without cryogenic liquids, e.g., 0.2 ppb (0.2×10-9) of NH3 in air in 1 s. One may substitute a QC laser operating at a different wavelength to measure other gases. The instrument operates continuously, requiring little operator attention, and web-based remote access is provided for instrument control, calibration and data retrieval. The instrument design includes a thermoelectrically (TE) cooled pulsed distributed feedback (DFB) QC laser, a low volume (0.5 l) multipass cell offering 76 m absorption path length and a TE cooled detector. Integrated software for laser control and data analysis using direct absorption provides quantitative trace gas measurements without calibration gases. The instrument may be applied to field measurements of gases of environmental concern.","container-title":"Applied Physics B","DOI":"10.1007/s00340-008-3129-9","ISSN":"1432-0649","issue":"3","journalAbbreviation":"Appl. Phys. B","language":"en","page":"387-392","source":"Springer Link","title":"Pulsed quantum cascade laser instrument with compact design for rapid, high sensitivity measurements of trace gases in air","volume":"92","author":[{"family":"McManus","given":"J.B."},{"family":"Shorter","given":"J.H."},{"family":"Nelson","given":"D.D."},{"family":"Zahniser","given":"M.S."},{"family":"Glenn","given":"D.E."},{"family":"McGovern","given":"R.M."}],"issued":{"date-parts":[["2008",9,1]]}}}],"schema":"https://github.com/citation-style-language/schema/raw/master/csl-citation.json"} </w:instrText>
      </w:r>
      <w:r>
        <w:rPr>
          <w:lang w:val="en-US"/>
        </w:rPr>
        <w:fldChar w:fldCharType="separate"/>
      </w:r>
      <w:r w:rsidRPr="002E3E9E">
        <w:rPr>
          <w:rFonts w:ascii="Calibri" w:hAnsi="Calibri" w:cs="Calibri"/>
          <w:szCs w:val="24"/>
          <w:vertAlign w:val="superscript"/>
          <w:lang w:val="en-US"/>
        </w:rPr>
        <w:t>4</w:t>
      </w:r>
      <w:r>
        <w:rPr>
          <w:lang w:val="en-US"/>
        </w:rPr>
        <w:fldChar w:fldCharType="end"/>
      </w:r>
    </w:p>
    <w:p w14:paraId="7D823B64" w14:textId="77777777" w:rsidR="002D166E" w:rsidRPr="00C229BB" w:rsidRDefault="002D166E" w:rsidP="002D166E">
      <w:pPr>
        <w:rPr>
          <w:b/>
          <w:bCs/>
          <w:lang w:val="en-US"/>
        </w:rPr>
      </w:pPr>
      <w:r>
        <w:rPr>
          <w:b/>
          <w:bCs/>
          <w:lang w:val="en-US"/>
        </w:rPr>
        <w:t xml:space="preserve"> </w:t>
      </w:r>
    </w:p>
    <w:p w14:paraId="082D61B8" w14:textId="77777777" w:rsidR="002D166E" w:rsidRPr="00A4713F" w:rsidRDefault="002D166E" w:rsidP="002D166E">
      <w:pPr>
        <w:rPr>
          <w:b/>
          <w:bCs/>
          <w:lang w:val="en-US"/>
        </w:rPr>
      </w:pPr>
      <w:r>
        <w:rPr>
          <w:b/>
          <w:bCs/>
          <w:lang w:val="en-US"/>
        </w:rPr>
        <w:t>Specialized inlet for sampling ammonia</w:t>
      </w:r>
    </w:p>
    <w:p w14:paraId="500A8305" w14:textId="77777777" w:rsidR="002D166E" w:rsidRDefault="002D166E" w:rsidP="002D166E">
      <w:pPr>
        <w:rPr>
          <w:lang w:val="en-US"/>
        </w:rPr>
      </w:pPr>
      <w:bookmarkStart w:id="2" w:name="_Hlk156912263"/>
      <w:r>
        <w:rPr>
          <w:lang w:val="en-US"/>
        </w:rPr>
        <w:lastRenderedPageBreak/>
        <w:t>NH</w:t>
      </w:r>
      <w:r w:rsidRPr="005245E7">
        <w:rPr>
          <w:vertAlign w:val="subscript"/>
          <w:lang w:val="en-US"/>
        </w:rPr>
        <w:t>3</w:t>
      </w:r>
      <w:r>
        <w:rPr>
          <w:lang w:val="en-US"/>
        </w:rPr>
        <w:t>, which is notoriously “sticky” on sampling surfaces, requires a specialized inlet for quantitative sampling, especially at very high measurement sensitivity. The inlet used in this study, called an “inertial inlet,” is essentially a virtual impactor in a heated box</w:t>
      </w:r>
      <w:r>
        <w:rPr>
          <w:lang w:val="en-US"/>
        </w:rPr>
        <w:fldChar w:fldCharType="begin"/>
      </w:r>
      <w:r>
        <w:rPr>
          <w:lang w:val="en-US"/>
        </w:rPr>
        <w:instrText xml:space="preserve"> ADDIN ZOTERO_ITEM CSL_CITATION {"citationID":"Ni8oYB7V","properties":{"formattedCitation":"\\super 1,5\\nosupersub{}","plainCitation":"1,5","noteIndex":0},"citationItems":[{"id":782,"uris":["http://zotero.org/users/local/CswXc3Re/items/5U9S663M"],"itemData":{"id":782,"type":"article-journal","abstract":"A compact, fast-response Quantum Cascade Tunable Infrared Laser Differential Absorption Spectrometer (QC-TILDAS) for measurements of ammonia (NH3) has been evaluated under both laboratory and field conditions. Absorption of radiation from a pulsed, thermoelectrically cooled QC laser occurs at reduced pressure in a 0.5 L multiple pass absorption cell with an effective path length of 76 m. Detection is achieved using a thermoelectrically-cooled Mercury Cadmium Telluride (HgCdTe) infrared detector. A novel sampling inlet was used, consisting of a short, heated, quartz tube with a hydrophobic coating to minimize the adsorption of NH3 to surfaces. The inlet contains a critical orifice that reduces the pressure, a virtual impactor for separation of particles, and additional ports for delivering NH3-free background air and calibration gas standards. The level of noise in this instrument has been found to be 0.23 ppb at 1 Hz. The sampling technique has been compared to the results of a conventional lead salt Tunable Diode Laser Absorption Spectrometer (TDLAS) during a laboratory intercomparison. The effect of humidity and heat on the surface interaction of NH3 with sample tubing was investigated at mixing ratios ranging from 30–1000 ppb. Humidity was seen to worsen the NH3 time response and considerable improvement was observed when using a heated sampling line. A field intercomparison of the QC-TILDAS with a modified Thermo 42CTL chemiluminescence-based analyzer was also performed at Environment Canada's Centre for Atmospheric Research Experiments (CARE) in the rural town of Egbert, ON between May–July 2008. Background tests and calibrations using two different permeation tube sources and an NH3 gas cylinder were regularly carried out throughout the study. Results indicate a very good correlation at 1 min time resolution (R2 = 0.93) between the two instruments at the beginning of the study, when regular background subtraction was applied to the QC-TILDAS. An overall good correlation of R2 = 0.85 was obtained over the entire two month data set, where the majority of the spread can be attributed to differences in inlet design and background subtraction methods.","container-title":"Atmospheric Measurement Techniques","DOI":"10.5194/amt-3-397-2010","ISSN":"1867-1381","issue":"2","language":"English","note":"publisher: Copernicus GmbH","page":"397-406","source":"Copernicus Online Journals","title":"Characterizing a Quantum Cascade Tunable Infrared Laser Differential Absorption Spectrometer (QC-TILDAS) for measurements of atmospheric ammonia","volume":"3","author":[{"family":"Ellis","given":"R. A."},{"family":"Murphy","given":"J. G."},{"family":"Pattey","given":"E."},{"family":"Haarlem","given":"R.","non-dropping-particle":"van"},{"family":"O'Brien","given":"J. M."},{"family":"Herndon","given":"S. C."}],"issued":{"date-parts":[["2010",3,30]]}}},{"id":913,"uris":["http://zotero.org/users/local/CswXc3Re/items/QH7WZ43M"],"itemData":{"id":913,"type":"article-journal","abstract":"A novel method has been developed to improve sampling system response times for nominally “sticky” molecules such as HNO3 and NH3. The method reported here makes use of active, continuous passivation, where the instrument interfaces are continuously exposed to 0.01–1 ppm of fluorinated acidic or basic surfactants. To reduce HNO3 response times, perfluoroheptanoic acid and perfluorobutanesulfonic acid vapors are evaluated as passivation species. 1H,1H-perfluorooctylamine is used to improve NH3 response times. The resulting time responses using the perfluoroalkanoic acids are on the order of 0.4–0.7 s for a 75% quantitative recovery of HNO3, and 1–5 s for 90% recovery. Similar response time improvements are seen in detection of NH3 using perfluorooctylamine (&lt;1 s for a 75% recovery, </w:instrText>
      </w:r>
      <w:r>
        <w:rPr>
          <w:rFonts w:ascii="Cambria Math" w:hAnsi="Cambria Math" w:cs="Cambria Math"/>
          <w:lang w:val="en-US"/>
        </w:rPr>
        <w:instrText>∼</w:instrText>
      </w:r>
      <w:r>
        <w:rPr>
          <w:lang w:val="en-US"/>
        </w:rPr>
        <w:instrText xml:space="preserve">2 s for 90% recovery). This generally applicable methodology significantly improves the capability of eddy covariance flux and real-time plume-based measurements of highly polar molecules that have historically been hampered by slow response times due to adsorption on sampling system surfaces. The utility of this approach is demonstrated by field measurements of HNO3 eddy covariance fluxes in a central U.S. prairie.","container-title":"The Journal of Physical Chemistry A","DOI":"10.1021/acs.jpca.5b04395","ISSN":"1089-5639","issue":"9","journalAbbreviation":"J. Phys. Chem. A","note":"publisher: American Chemical Society","page":"1347-1357","source":"ACS Publications","title":"New Approaches to Measuring Sticky Molecules: Improvement of Instrumental Response Times Using Active Passivation","title-short":"New Approaches to Measuring Sticky Molecules","volume":"120","author":[{"family":"Roscioli","given":"J. R."},{"family":"Zahniser","given":"M. S."},{"family":"Nelson","given":"D. D."},{"family":"Herndon","given":"S. C."},{"family":"Kolb","given":"C. E."}],"issued":{"date-parts":[["2016",3,10]]}}}],"schema":"https://github.com/citation-style-language/schema/raw/master/csl-citation.json"} </w:instrText>
      </w:r>
      <w:r>
        <w:rPr>
          <w:lang w:val="en-US"/>
        </w:rPr>
        <w:fldChar w:fldCharType="separate"/>
      </w:r>
      <w:r w:rsidRPr="002E3E9E">
        <w:rPr>
          <w:rFonts w:ascii="Calibri" w:hAnsi="Calibri" w:cs="Calibri"/>
          <w:szCs w:val="24"/>
          <w:vertAlign w:val="superscript"/>
          <w:lang w:val="en-US"/>
        </w:rPr>
        <w:t>1,5</w:t>
      </w:r>
      <w:r>
        <w:rPr>
          <w:lang w:val="en-US"/>
        </w:rPr>
        <w:fldChar w:fldCharType="end"/>
      </w:r>
      <w:r>
        <w:rPr>
          <w:lang w:val="en-US"/>
        </w:rPr>
        <w:t>, and has been previously used for field measurements of NH</w:t>
      </w:r>
      <w:r w:rsidRPr="005245E7">
        <w:rPr>
          <w:vertAlign w:val="subscript"/>
          <w:lang w:val="en-US"/>
        </w:rPr>
        <w:t>3</w:t>
      </w:r>
      <w:r>
        <w:rPr>
          <w:lang w:val="en-US"/>
        </w:rPr>
        <w:fldChar w:fldCharType="begin"/>
      </w:r>
      <w:r>
        <w:rPr>
          <w:lang w:val="en-US"/>
        </w:rPr>
        <w:instrText xml:space="preserve"> ADDIN ZOTERO_ITEM CSL_CITATION {"citationID":"FCYqHGG3","properties":{"formattedCitation":"\\super 2,6\\nosupersub{}","plainCitation":"2,6","noteIndex":0},"citationItems":[{"id":784,"uris":["http://zotero.org/users/local/CswXc3Re/items/C952RB89"],"itemData":{"id":784,"type":"article-journal","abstract":"Measurements of the surface–atmosphere exchange of ammonia (NH3) are necessary to study the emission and deposition processes of NH3 from managed and natural ecosystems. The eddy covariance technique, which is the most direct method for trace gas exchange measurements at the ecosystem level, requires trace gas detection at a fast sample frequency and high precision. In the past, the major limitation for measuring NH3 eddy covariance fluxes has been the slow time response of NH3 measurements due to NH3 adsorption on instrument surfaces. While high-frequency attenuation correction methods are used, large uncertainties in these corrections still exist, which are mainly due to the lack of understanding of the processes that govern the time response. We measured NH3 fluxes over a corn crop field using a quantum cascade laser spectrometer (QCL) that enables measurements of NH3 at a 10&amp;thinsp;Hz measurement frequency. The 5-month measurement period covered a large range of environmental conditions that included both periods of NH3 emission and deposition and allowed us to investigate the time response controlling parameters under field conditions. Without high-frequency loss correction, the median daytime NH3 flux was 8.59&amp;thinsp;ng&amp;thinsp;m−2&amp;thinsp;s−1 during emission and −19.87&amp;thinsp;ng&amp;thinsp;m−2&amp;thinsp;s−1 during deposition periods, with a median daytime random flux error of 1.61&amp;thinsp;ng&amp;thinsp;m−2&amp;thinsp;s−1. The overall median flux detection limit was 2.15&amp;thinsp;ng&amp;thinsp;m−2&amp;thinsp;s−1, leading to only 11.6&amp;thinsp;% of valid flux data below the detection limit. From the flux attenuation analysis, we determined a median flux loss of 17&amp;thinsp;% using the ogive method. No correlations of the flux loss with environmental or analyser parameters (such as humidity or inlet ageing) were found, which was attributed to the uncertainties in the ogive method. Therefore, we propose a new method that simulates the flux loss by using the analyser time response that is determined frequently over the course of the measurement campaign. A correction that uses as a function of the horizontal wind speed and the time response is formulated which accounts for surface ageing and contamination over the course of the experiment. Using this method, the median flux loss was calculated to be 46&amp;thinsp;%, which was substantially higher than with the ogive method.","container-title":"Atmospheric Measurement Techniques","DOI":"10.5194/amt-12-6059-2019","ISSN":"1867-1381","issue":"11","language":"English","note":"publisher: Copernicus GmbH","page":"6059-6078","source":"Copernicus Online Journals","title":"Measurements and quality control of ammonia eddy covariance fluxes: a new strategy for high-frequency attenuation correction","title-short":"Measurements and quality control of ammonia eddy covariance fluxes","volume":"12","author":[{"family":"Moravek","given":"Alexander"},{"family":"Singh","given":"Saumya"},{"family":"Pattey","given":"Elizabeth"},{"family":"Pelletier","given":"Luc"},{"family":"Murphy","given":"Jennifer G."}],"issued":{"date-parts":[["2019",11,21]]}}},{"id":914,"uris":["http://zotero.org/users/local/CswXc3Re/items/SLYJRCF2"],"itemData":{"id":914,"type":"article-journal","abstract":"A closed-path quantum-cascade tunable infrared laser direct absorption spectrometer (QC-TILDAS) was outfitted with an inertial inlet for filter-less separation of particles and several custom-designed components including an aircraft inlet, a vibration isolation mounting plate, and a system for optionally adding active continuous passivation for gas-phase measurements of ammonia (NH3) from a research aircraft. The instrument was then deployed on the NSF/NCAR C-130 aircraft during research flights and test flights associated with the Western wildfire Experiment for Cloud chemistry, Aerosol absorption and Nitrogen (WE-CAN) field campaign. The instrument was configured to measure large, rapid gradients in gas-phase NH3, over a range of altitudes, in smoke (e.g., ash and particles), in the boundary layer (e.g., during turbulence and turns), in clouds, and in a hot aircraft cabin (e.g., average aircraft cabin temperatures expected to exceed 30&amp;thinsp;</w:instrText>
      </w:r>
      <w:r>
        <w:rPr>
          <w:rFonts w:ascii="Cambria Math" w:hAnsi="Cambria Math" w:cs="Cambria Math"/>
          <w:lang w:val="en-US"/>
        </w:rPr>
        <w:instrText>∘</w:instrText>
      </w:r>
      <w:r>
        <w:rPr>
          <w:lang w:val="en-US"/>
        </w:rPr>
        <w:instrText xml:space="preserve">C during summer deployments). Important design goals were to minimize motion sensitivity, maintain a reasonable detection limit, and minimize NH3 </w:instrText>
      </w:r>
      <w:r>
        <w:rPr>
          <w:rFonts w:ascii="Calibri" w:hAnsi="Calibri" w:cs="Calibri"/>
          <w:lang w:val="en-US"/>
        </w:rPr>
        <w:instrText>“</w:instrText>
      </w:r>
      <w:r>
        <w:rPr>
          <w:lang w:val="en-US"/>
        </w:rPr>
        <w:instrText>stickiness</w:instrText>
      </w:r>
      <w:r>
        <w:rPr>
          <w:rFonts w:ascii="Calibri" w:hAnsi="Calibri" w:cs="Calibri"/>
          <w:lang w:val="en-US"/>
        </w:rPr>
        <w:instrText>”</w:instrText>
      </w:r>
      <w:r>
        <w:rPr>
          <w:lang w:val="en-US"/>
        </w:rPr>
        <w:instrText xml:space="preserve"> on sampling surfaces to maintain fast time response in flight. The observations indicate that adding a high-frequency vibration to the laser objective in the QC-TILDAS and mounting the QC-TILDAS on a custom-designed vibration isolation plate were successful in minimizing motion sensitivity of the instrument during flight. Allan variance analyses indicate that the in-flight precision of the instrument is 60&amp;thinsp;ppt at 1&amp;thinsp;Hz corresponding to a 3σ detection limit of 180&amp;thinsp;ppt. Zero signals span ±200, or 400&amp;thinsp;pptv total, with cabin pressure and temperature and altitude in flight. The option for active continuous passivation of the sample flow path with 1H,1H-perfluorooctylamine, a strong perfluorinated base, prevented adsorption of both water and basic species to instrument sampling surfaces. Characterization of the time response in flight and on the ground showed that adding passivant to a “clean” instrument system had little impact on the time response. In contrast, passivant addition greatly improved the time response when sampling surfaces became contaminated prior to a test flight. The observations further show that passivant addition can be used to maintain a rapid response for in situ NH3 measurements over the duration of an airborne field campaign (e.g., </w:instrText>
      </w:r>
      <w:r>
        <w:rPr>
          <w:rFonts w:ascii="Cambria Math" w:hAnsi="Cambria Math" w:cs="Cambria Math"/>
          <w:lang w:val="en-US"/>
        </w:rPr>
        <w:instrText>∼</w:instrText>
      </w:r>
      <w:r>
        <w:rPr>
          <w:lang w:val="en-US"/>
        </w:rPr>
        <w:instrText xml:space="preserve">2 months) since passivant addition also helps to prevent future buildup of water and basic species on instrument sampling surfaces. Therefore, we recommend the use of active continuous passivation with closed-path NH3 instruments when rapid (&amp;gt;1&amp;thinsp;Hz) collection of NH3 is important for the scientific objective of a field campaign (e.g., sampling from aircraft or another mobile research platform). Passivant addition can be useful for maintaining optimum operation and data collection in NH3-rich and humid environments or when contamination of sampling surfaces is likely, yet frequent cleaning is not possible. Passivant addition may not be necessary for fast operation, even in polluted environments, if sampling surfaces can be cleaned when the time response has degraded.","container-title":"Atmospheric Measurement Techniques","DOI":"10.5194/amt-12-3717-2019","ISSN":"1867-1381","issue":"7","language":"English","note":"publisher: Copernicus GmbH","page":"3717-3742","source":"Copernicus Online Journals","title":"Evaluation of ambient ammonia measurements from a research aircraft using a closed-path QC-TILDAS operated with active continuous passivation","volume":"12","author":[{"family":"Pollack","given":"Ilana B."},{"family":"Lindaas","given":"Jakob"},{"family":"Roscioli","given":"J. Robert"},{"family":"Agnese","given":"Michael"},{"family":"Permar","given":"Wade"},{"family":"Hu","given":"Lu"},{"family":"Fischer","given":"Emily V."}],"issued":{"date-parts":[["2019",7,10]]}}}],"schema":"https://github.com/citation-style-language/schema/raw/master/csl-citation.json"} </w:instrText>
      </w:r>
      <w:r>
        <w:rPr>
          <w:lang w:val="en-US"/>
        </w:rPr>
        <w:fldChar w:fldCharType="separate"/>
      </w:r>
      <w:r w:rsidRPr="002E3E9E">
        <w:rPr>
          <w:rFonts w:ascii="Calibri" w:hAnsi="Calibri" w:cs="Calibri"/>
          <w:szCs w:val="24"/>
          <w:vertAlign w:val="superscript"/>
          <w:lang w:val="en-US"/>
        </w:rPr>
        <w:t>2,6</w:t>
      </w:r>
      <w:r>
        <w:rPr>
          <w:lang w:val="en-US"/>
        </w:rPr>
        <w:fldChar w:fldCharType="end"/>
      </w:r>
      <w:r>
        <w:rPr>
          <w:lang w:val="en-US"/>
        </w:rPr>
        <w:t xml:space="preserve"> or other “sticky” gases, such as hydrogen chloride</w:t>
      </w:r>
      <w:r>
        <w:rPr>
          <w:lang w:val="en-US"/>
        </w:rPr>
        <w:fldChar w:fldCharType="begin"/>
      </w:r>
      <w:r>
        <w:rPr>
          <w:lang w:val="en-US"/>
        </w:rPr>
        <w:instrText xml:space="preserve"> ADDIN ZOTERO_ITEM CSL_CITATION {"citationID":"pNbCOxdV","properties":{"formattedCitation":"\\super 7\\nosupersub{}","plainCitation":"7","noteIndex":0},"citationItems":[{"id":861,"uris":["http://zotero.org/users/local/CswXc3Re/items/WI87SW2Y"],"itemData":{"id":861,"type":"article-journal","abstract":"The largest inorganic, gas-phase reservoir of chlorine atoms in the atmosphere is hydrogen chloride (HCl), but challenges in quantitative sampling of this compound cause difficulties for obtaining high-quality, high-frequency measurements. In this work, tunable infrared laser direct absorption spectroscopy (TILDAS) was demonstrated to be a superior optical method for sensitive, in situ detection of HCl at the 2925.89645 cm−1 absorption line using a 3 µm inter-band cascade laser. The instrument has an effective path length of 204 m, 1 Hz precision of 7–8 pptv, and 3σ limit of detection ranging from 21 to 24 pptv. For longer averaging times, the highest precision obtained was 0.5 pptv with a 3σ limit of detection of 1.6 pptv at 2.4 min. HCl-TILDAS was also shown to have high accuracy when compared with a certified gas cylinder, yielding a linear slope within the expected 5 % tolerance of the reported cylinder concentration (slope = 0.964 ± 0.008). The use of heated inlet lines and active chemical passivation greatly improve the instrument response times to changes in HCl mixing ratios, with minimum 90 % response times ranging from 1.2 to 4.4 s depending on inlet flow rate. However, these response times lengthened at relative humidities &amp;gt;50 %, conditions under which HCl concentration standards were found to elicit a significantly lower response (−5.8 %). The addition of high concentrations of gas-phase nitric acid (&amp;gt;3.0 ppbv) were found to increase HCl signal (&amp;lt;10 %), likely due to acid displacement with HCl or particulate chloride adsorbed to inlet surfaces. The equilibrium model ISORROPIA suggested a potential of particulate chloride partitioning into HCl gas within the heated inlet system if allowed to thermally equilibrate, but field results did not demonstrate a clear relationship between particulate chloride and HCl signal obtained with a denuder installed on the inlet.","container-title":"Atmospheric Measurement Techniques","DOI":"10.5194/amt-16-1407-2023","ISSN":"1867-1381","issue":"5","language":"English","note":"publisher: Copernicus GmbH","page":"1407-1429","source":"Copernicus Online Journals","title":"Using tunable infrared laser direct absorption spectroscopy for ambient hydrogen chloride detection: HCl-TILDAS","title-short":"Using tunable infrared laser direct absorption spectroscopy for ambient hydrogen chloride detection","volume":"16","author":[{"family":"Halfacre","given":"John W."},{"family":"Stewart","given":"Jordan"},{"family":"Herndon","given":"Scott C."},{"family":"Roscioli","given":"Joseph R."},{"family":"Dyroff","given":"Christoph"},{"family":"Yacovitch","given":"Tara I."},{"family":"Flynn","given":"Michael"},{"family":"Andrews","given":"Stephen J."},{"family":"Brown","given":"Steven S."},{"family":"Veres","given":"Patrick R."},{"family":"Edwards","given":"Pete M."}],"issued":{"date-parts":[["2023",3,16]]}}}],"schema":"https://github.com/citation-style-language/schema/raw/master/csl-citation.json"} </w:instrText>
      </w:r>
      <w:r>
        <w:rPr>
          <w:lang w:val="en-US"/>
        </w:rPr>
        <w:fldChar w:fldCharType="separate"/>
      </w:r>
      <w:r w:rsidRPr="002E3E9E">
        <w:rPr>
          <w:rFonts w:ascii="Calibri" w:hAnsi="Calibri" w:cs="Calibri"/>
          <w:szCs w:val="24"/>
          <w:vertAlign w:val="superscript"/>
          <w:lang w:val="en-US"/>
        </w:rPr>
        <w:t>7</w:t>
      </w:r>
      <w:r>
        <w:rPr>
          <w:lang w:val="en-US"/>
        </w:rPr>
        <w:fldChar w:fldCharType="end"/>
      </w:r>
      <w:r>
        <w:rPr>
          <w:lang w:val="en-US"/>
        </w:rPr>
        <w:t>. During the campaign, the inertial inlet box temperature was set to 50 C, however, actual temperatures in the inertial inlet were observed to vary between 10 to 20 C due to the cold ambient conditions in Antarctica.</w:t>
      </w:r>
    </w:p>
    <w:p w14:paraId="3E5132FB" w14:textId="53B45D07" w:rsidR="002D166E" w:rsidRDefault="002D166E" w:rsidP="002D166E">
      <w:pPr>
        <w:rPr>
          <w:lang w:val="en-US"/>
        </w:rPr>
      </w:pPr>
      <w:r>
        <w:rPr>
          <w:lang w:val="en-US"/>
        </w:rPr>
        <w:t>In additional to removing particles before sampling through the optical cell, a process which is necessary for all gas-phase absorption spectrometers, the inertial inlet provides additional features that improve NH</w:t>
      </w:r>
      <w:r w:rsidRPr="005245E7">
        <w:rPr>
          <w:vertAlign w:val="subscript"/>
          <w:lang w:val="en-US"/>
        </w:rPr>
        <w:t>3</w:t>
      </w:r>
      <w:r>
        <w:rPr>
          <w:lang w:val="en-US"/>
        </w:rPr>
        <w:t xml:space="preserve"> sampling, including 1) reducing the pressure of the sample by ~20 times near entrance of the inlet to improve NH</w:t>
      </w:r>
      <w:r w:rsidRPr="00A50D98">
        <w:rPr>
          <w:vertAlign w:val="subscript"/>
          <w:lang w:val="en-US"/>
        </w:rPr>
        <w:t>3</w:t>
      </w:r>
      <w:r>
        <w:rPr>
          <w:lang w:val="en-US"/>
        </w:rPr>
        <w:t xml:space="preserve"> transmission; 2) heating the inlet to minimize surface interactions; and 3) providing a way to overblow the sampling inlet with zero</w:t>
      </w:r>
      <w:r w:rsidR="002B7BED">
        <w:rPr>
          <w:lang w:val="en-US"/>
        </w:rPr>
        <w:t>-</w:t>
      </w:r>
      <w:r>
        <w:rPr>
          <w:lang w:val="en-US"/>
        </w:rPr>
        <w:t xml:space="preserve">air to clean sampling surfaces prior to performing routine backgrounds of the absorption spectra. </w:t>
      </w:r>
      <w:r w:rsidRPr="0048331B">
        <w:rPr>
          <w:lang w:val="en-US"/>
        </w:rPr>
        <w:t xml:space="preserve">After </w:t>
      </w:r>
      <w:r>
        <w:rPr>
          <w:lang w:val="en-US"/>
        </w:rPr>
        <w:t xml:space="preserve">the </w:t>
      </w:r>
      <w:r w:rsidRPr="0048331B">
        <w:rPr>
          <w:lang w:val="en-US"/>
        </w:rPr>
        <w:t xml:space="preserve">inertial inlet, </w:t>
      </w:r>
      <w:r>
        <w:rPr>
          <w:lang w:val="en-US"/>
        </w:rPr>
        <w:t xml:space="preserve">the </w:t>
      </w:r>
      <w:r w:rsidRPr="0048331B">
        <w:rPr>
          <w:lang w:val="en-US"/>
        </w:rPr>
        <w:t xml:space="preserve">sample gas </w:t>
      </w:r>
      <w:r>
        <w:rPr>
          <w:lang w:val="en-US"/>
        </w:rPr>
        <w:t xml:space="preserve">is </w:t>
      </w:r>
      <w:r w:rsidRPr="0048331B">
        <w:rPr>
          <w:lang w:val="en-US"/>
        </w:rPr>
        <w:t xml:space="preserve">directed to </w:t>
      </w:r>
      <w:r>
        <w:rPr>
          <w:lang w:val="en-US"/>
        </w:rPr>
        <w:t xml:space="preserve">the </w:t>
      </w:r>
      <w:r w:rsidRPr="0048331B">
        <w:rPr>
          <w:lang w:val="en-US"/>
        </w:rPr>
        <w:t>optical cell using a heated sampl</w:t>
      </w:r>
      <w:r>
        <w:rPr>
          <w:lang w:val="en-US"/>
        </w:rPr>
        <w:t>e</w:t>
      </w:r>
      <w:r w:rsidRPr="0048331B">
        <w:rPr>
          <w:lang w:val="en-US"/>
        </w:rPr>
        <w:t xml:space="preserve"> tube</w:t>
      </w:r>
      <w:r>
        <w:rPr>
          <w:lang w:val="en-US"/>
        </w:rPr>
        <w:t xml:space="preserve">, </w:t>
      </w:r>
      <w:r w:rsidRPr="006E639D">
        <w:rPr>
          <w:lang w:val="en-US"/>
        </w:rPr>
        <w:t>3 m</w:t>
      </w:r>
      <w:r>
        <w:rPr>
          <w:lang w:val="en-US"/>
        </w:rPr>
        <w:t xml:space="preserve"> in length,</w:t>
      </w:r>
      <w:r w:rsidRPr="0048331B">
        <w:rPr>
          <w:lang w:val="en-US"/>
        </w:rPr>
        <w:t xml:space="preserve"> </w:t>
      </w:r>
      <w:r>
        <w:rPr>
          <w:lang w:val="en-US"/>
        </w:rPr>
        <w:t xml:space="preserve">heated to </w:t>
      </w:r>
      <w:r w:rsidRPr="0048331B">
        <w:rPr>
          <w:lang w:val="en-US"/>
        </w:rPr>
        <w:t>70</w:t>
      </w:r>
      <w:r>
        <w:rPr>
          <w:lang w:val="en-US"/>
        </w:rPr>
        <w:t xml:space="preserve"> C.</w:t>
      </w:r>
    </w:p>
    <w:p w14:paraId="4C1D8AB2" w14:textId="77777777" w:rsidR="002D166E" w:rsidRDefault="002D166E" w:rsidP="002D166E">
      <w:pPr>
        <w:rPr>
          <w:lang w:val="en-US"/>
        </w:rPr>
      </w:pPr>
      <w:r>
        <w:rPr>
          <w:lang w:val="en-US"/>
        </w:rPr>
        <w:t>The cleanliness of the sampling surfaces impacts the measurement, where dirty sampling surfaces negatively impact the instrument response by increasing NH</w:t>
      </w:r>
      <w:r w:rsidRPr="005245E7">
        <w:rPr>
          <w:vertAlign w:val="subscript"/>
          <w:lang w:val="en-US"/>
        </w:rPr>
        <w:t>3</w:t>
      </w:r>
      <w:r>
        <w:rPr>
          <w:lang w:val="en-US"/>
        </w:rPr>
        <w:t xml:space="preserve"> uptake on surfaces. Over time, the inertial inlet can become dirty during ambient sampling due to accumulation of dust and particles, especially in the ambient pressure region of the quartz tube before the critical orifice. To improve throughput of NH</w:t>
      </w:r>
      <w:r w:rsidRPr="005245E7">
        <w:rPr>
          <w:vertAlign w:val="subscript"/>
          <w:lang w:val="en-US"/>
        </w:rPr>
        <w:t>3</w:t>
      </w:r>
      <w:r>
        <w:rPr>
          <w:lang w:val="en-US"/>
        </w:rPr>
        <w:t xml:space="preserve"> and decrease the memory effect, we cleaned the inlet sampling surfaces (Swagelok tee, quartz inertial inlet tube, and heated sample tube) with ethanol midway through the campaign.</w:t>
      </w:r>
    </w:p>
    <w:p w14:paraId="245E9B65" w14:textId="77777777" w:rsidR="002D166E" w:rsidRDefault="002D166E" w:rsidP="002D166E">
      <w:pPr>
        <w:rPr>
          <w:lang w:val="en-US"/>
        </w:rPr>
      </w:pPr>
    </w:p>
    <w:p w14:paraId="5C7C252A" w14:textId="10BD1114" w:rsidR="002D166E" w:rsidRDefault="002D166E" w:rsidP="002D166E">
      <w:pPr>
        <w:rPr>
          <w:b/>
          <w:bCs/>
          <w:lang w:val="en-US"/>
        </w:rPr>
      </w:pPr>
      <w:r w:rsidRPr="004C7036">
        <w:rPr>
          <w:b/>
          <w:bCs/>
          <w:lang w:val="en-US"/>
        </w:rPr>
        <w:t>Zero</w:t>
      </w:r>
      <w:r w:rsidR="00AE697C">
        <w:rPr>
          <w:b/>
          <w:bCs/>
          <w:lang w:val="en-US"/>
        </w:rPr>
        <w:t>-</w:t>
      </w:r>
      <w:r w:rsidRPr="004C7036">
        <w:rPr>
          <w:b/>
          <w:bCs/>
          <w:lang w:val="en-US"/>
        </w:rPr>
        <w:t>air source for ammonia</w:t>
      </w:r>
    </w:p>
    <w:p w14:paraId="21AAB44C" w14:textId="1A0FA75F" w:rsidR="002D166E" w:rsidRDefault="002D166E" w:rsidP="002D166E">
      <w:pPr>
        <w:rPr>
          <w:lang w:val="en-US"/>
        </w:rPr>
      </w:pPr>
      <w:r>
        <w:rPr>
          <w:lang w:val="en-US"/>
        </w:rPr>
        <w:t>A source of zero</w:t>
      </w:r>
      <w:r w:rsidR="00AE697C">
        <w:rPr>
          <w:lang w:val="en-US"/>
        </w:rPr>
        <w:t>-</w:t>
      </w:r>
      <w:r>
        <w:rPr>
          <w:lang w:val="en-US"/>
        </w:rPr>
        <w:t>air, or in this case, NH</w:t>
      </w:r>
      <w:r w:rsidRPr="005245E7">
        <w:rPr>
          <w:vertAlign w:val="subscript"/>
          <w:lang w:val="en-US"/>
        </w:rPr>
        <w:t>3</w:t>
      </w:r>
      <w:r>
        <w:rPr>
          <w:lang w:val="en-US"/>
        </w:rPr>
        <w:t xml:space="preserve"> free air, is necessary to obtain the background spectra used to quantify NH</w:t>
      </w:r>
      <w:r w:rsidRPr="005245E7">
        <w:rPr>
          <w:vertAlign w:val="subscript"/>
          <w:lang w:val="en-US"/>
        </w:rPr>
        <w:t>3</w:t>
      </w:r>
      <w:r>
        <w:rPr>
          <w:lang w:val="en-US"/>
        </w:rPr>
        <w:t xml:space="preserve"> mixing ratios. As mentioned, NH</w:t>
      </w:r>
      <w:r w:rsidRPr="005245E7">
        <w:rPr>
          <w:vertAlign w:val="subscript"/>
          <w:lang w:val="en-US"/>
        </w:rPr>
        <w:t>3</w:t>
      </w:r>
      <w:r>
        <w:rPr>
          <w:lang w:val="en-US"/>
        </w:rPr>
        <w:t xml:space="preserve"> mixing ratios are retrieved by comparing the absorption of light in ambient air to background spectra, where the background spectra are obtained at regular intervals while delivering zero</w:t>
      </w:r>
      <w:r w:rsidR="00AE697C">
        <w:rPr>
          <w:lang w:val="en-US"/>
        </w:rPr>
        <w:t>-</w:t>
      </w:r>
      <w:r>
        <w:rPr>
          <w:lang w:val="en-US"/>
        </w:rPr>
        <w:t>air to the instrument. It is therefore important to have a stable source of NH</w:t>
      </w:r>
      <w:r w:rsidRPr="005245E7">
        <w:rPr>
          <w:vertAlign w:val="subscript"/>
          <w:lang w:val="en-US"/>
        </w:rPr>
        <w:t>3</w:t>
      </w:r>
      <w:r>
        <w:rPr>
          <w:lang w:val="en-US"/>
        </w:rPr>
        <w:t xml:space="preserve"> free air. </w:t>
      </w:r>
    </w:p>
    <w:p w14:paraId="2CD37AA3" w14:textId="7EAF6C51" w:rsidR="002D166E" w:rsidRDefault="002D166E" w:rsidP="002D166E">
      <w:pPr>
        <w:rPr>
          <w:lang w:val="en-US"/>
        </w:rPr>
      </w:pPr>
      <w:r w:rsidRPr="002C5EA8">
        <w:rPr>
          <w:lang w:val="en-US"/>
        </w:rPr>
        <w:t>A series of laboratory tests were performed prior to the campaign to characterize zero</w:t>
      </w:r>
      <w:r w:rsidR="006D09BF">
        <w:rPr>
          <w:lang w:val="en-US"/>
        </w:rPr>
        <w:t>-</w:t>
      </w:r>
      <w:r w:rsidRPr="002C5EA8">
        <w:rPr>
          <w:lang w:val="en-US"/>
        </w:rPr>
        <w:t xml:space="preserve">air sources for </w:t>
      </w:r>
      <w:r>
        <w:rPr>
          <w:lang w:val="en-US"/>
        </w:rPr>
        <w:t>NH</w:t>
      </w:r>
      <w:r w:rsidRPr="005245E7">
        <w:rPr>
          <w:vertAlign w:val="subscript"/>
          <w:lang w:val="en-US"/>
        </w:rPr>
        <w:t>3</w:t>
      </w:r>
      <w:r w:rsidRPr="002C5EA8">
        <w:rPr>
          <w:lang w:val="en-US"/>
        </w:rPr>
        <w:t xml:space="preserve">, with a focus on obtaining a reliable zero source for field measurements at high sensitivity. We used liquid nitrogen (LN2) boiloff as a standard for spectroscopic backgrounds of the </w:t>
      </w:r>
      <w:r>
        <w:rPr>
          <w:lang w:val="en-US"/>
        </w:rPr>
        <w:t>NH</w:t>
      </w:r>
      <w:r w:rsidRPr="005245E7">
        <w:rPr>
          <w:vertAlign w:val="subscript"/>
          <w:lang w:val="en-US"/>
        </w:rPr>
        <w:t>3</w:t>
      </w:r>
      <w:r w:rsidRPr="002C5EA8">
        <w:rPr>
          <w:lang w:val="en-US"/>
        </w:rPr>
        <w:t xml:space="preserve"> absorption spectra. These spectroscopic backgrounds were compared to zero</w:t>
      </w:r>
      <w:r w:rsidR="002B7BED">
        <w:rPr>
          <w:lang w:val="en-US"/>
        </w:rPr>
        <w:t>-</w:t>
      </w:r>
      <w:r w:rsidRPr="002C5EA8">
        <w:rPr>
          <w:lang w:val="en-US"/>
        </w:rPr>
        <w:t>air from a commercial zero</w:t>
      </w:r>
      <w:r w:rsidR="006D09BF">
        <w:rPr>
          <w:lang w:val="en-US"/>
        </w:rPr>
        <w:t>-</w:t>
      </w:r>
      <w:r w:rsidRPr="002C5EA8">
        <w:rPr>
          <w:lang w:val="en-US"/>
        </w:rPr>
        <w:t>air generator (ZA-30</w:t>
      </w:r>
      <w:r w:rsidR="00751941">
        <w:rPr>
          <w:lang w:val="en-US"/>
        </w:rPr>
        <w:t>, Tisch Environmental</w:t>
      </w:r>
      <w:r w:rsidRPr="002C5EA8">
        <w:rPr>
          <w:lang w:val="en-US"/>
        </w:rPr>
        <w:t>). Note that PFA was used for all tubing in contact with zero</w:t>
      </w:r>
      <w:r w:rsidR="006D09BF">
        <w:rPr>
          <w:lang w:val="en-US"/>
        </w:rPr>
        <w:t>-</w:t>
      </w:r>
      <w:r w:rsidRPr="002C5EA8">
        <w:rPr>
          <w:lang w:val="en-US"/>
        </w:rPr>
        <w:t>air. These tests identif</w:t>
      </w:r>
      <w:r>
        <w:rPr>
          <w:lang w:val="en-US"/>
        </w:rPr>
        <w:t>ied</w:t>
      </w:r>
      <w:r w:rsidRPr="002C5EA8">
        <w:rPr>
          <w:lang w:val="en-US"/>
        </w:rPr>
        <w:t xml:space="preserve"> that the zero</w:t>
      </w:r>
      <w:r w:rsidR="00066268">
        <w:rPr>
          <w:lang w:val="en-US"/>
        </w:rPr>
        <w:t>-</w:t>
      </w:r>
      <w:r w:rsidRPr="002C5EA8">
        <w:rPr>
          <w:lang w:val="en-US"/>
        </w:rPr>
        <w:t xml:space="preserve">air generator is a suitable source of </w:t>
      </w:r>
      <w:r>
        <w:rPr>
          <w:lang w:val="en-US"/>
        </w:rPr>
        <w:t>NH</w:t>
      </w:r>
      <w:r w:rsidRPr="005245E7">
        <w:rPr>
          <w:vertAlign w:val="subscript"/>
          <w:lang w:val="en-US"/>
        </w:rPr>
        <w:t>3</w:t>
      </w:r>
      <w:r w:rsidRPr="002C5EA8">
        <w:rPr>
          <w:lang w:val="en-US"/>
        </w:rPr>
        <w:t xml:space="preserve"> free air in our study.</w:t>
      </w:r>
    </w:p>
    <w:p w14:paraId="48148D71" w14:textId="29E96B71" w:rsidR="002D166E" w:rsidRDefault="002D166E" w:rsidP="002D166E">
      <w:pPr>
        <w:rPr>
          <w:lang w:val="en-US"/>
        </w:rPr>
      </w:pPr>
      <w:r>
        <w:rPr>
          <w:lang w:val="en-US"/>
        </w:rPr>
        <w:t>Ambient conditions, including temperature, pressure, and relative humidity, can also affect the interactions with NH</w:t>
      </w:r>
      <w:r w:rsidRPr="005245E7">
        <w:rPr>
          <w:vertAlign w:val="subscript"/>
          <w:lang w:val="en-US"/>
        </w:rPr>
        <w:t>3</w:t>
      </w:r>
      <w:r>
        <w:rPr>
          <w:lang w:val="en-US"/>
        </w:rPr>
        <w:t xml:space="preserve"> on surfaces and impact instrumental backgrounds. As such, it is recommended to use zero</w:t>
      </w:r>
      <w:r w:rsidR="00AE697C">
        <w:rPr>
          <w:lang w:val="en-US"/>
        </w:rPr>
        <w:t>-</w:t>
      </w:r>
      <w:r>
        <w:rPr>
          <w:lang w:val="en-US"/>
        </w:rPr>
        <w:t>air that maintains a relative humidity that is matched with the ambient air</w:t>
      </w:r>
      <w:r>
        <w:rPr>
          <w:lang w:val="en-US"/>
        </w:rPr>
        <w:fldChar w:fldCharType="begin"/>
      </w:r>
      <w:r>
        <w:rPr>
          <w:lang w:val="en-US"/>
        </w:rPr>
        <w:instrText xml:space="preserve"> ADDIN ZOTERO_ITEM CSL_CITATION {"citationID":"kBlXkSJc","properties":{"formattedCitation":"\\super 1\\nosupersub{}","plainCitation":"1","noteIndex":0},"citationItems":[{"id":782,"uris":["http://zotero.org/users/local/CswXc3Re/items/5U9S663M"],"itemData":{"id":782,"type":"article-journal","abstract":"A compact, fast-response Quantum Cascade Tunable Infrared Laser Differential Absorption Spectrometer (QC-TILDAS) for measurements of ammonia (NH3) has been evaluated under both laboratory and field conditions. Absorption of radiation from a pulsed, thermoelectrically cooled QC laser occurs at reduced pressure in a 0.5 L multiple pass absorption cell with an effective path length of 76 m. Detection is achieved using a thermoelectrically-cooled Mercury Cadmium Telluride (HgCdTe) infrared detector. A novel sampling inlet was used, consisting of a short, heated, quartz tube with a hydrophobic coating to minimize the adsorption of NH3 to surfaces. The inlet contains a critical orifice that reduces the pressure, a virtual impactor for separation of particles, and additional ports for delivering NH3-free background air and calibration gas standards. The level of noise in this instrument has been found to be 0.23 ppb at 1 Hz. The sampling technique has been compared to the results of a conventional lead salt Tunable Diode Laser Absorption Spectrometer (TDLAS) during a laboratory intercomparison. The effect of humidity and heat on the surface interaction of NH3 with sample tubing was investigated at mixing ratios ranging from 30–1000 ppb. Humidity was seen to worsen the NH3 time response and considerable improvement was observed when using a heated sampling line. A field intercomparison of the QC-TILDAS with a modified Thermo 42CTL chemiluminescence-based analyzer was also performed at Environment Canada's Centre for Atmospheric Research Experiments (CARE) in the rural town of Egbert, ON between May–July 2008. Background tests and calibrations using two different permeation tube sources and an NH3 gas cylinder were regularly carried out throughout the study. Results indicate a very good correlation at 1 min time resolution (R2 = 0.93) between the two instruments at the beginning of the study, when regular background subtraction was applied to the QC-TILDAS. An overall good correlation of R2 = 0.85 was obtained over the entire two month data set, where the majority of the spread can be attributed to differences in inlet design and background subtraction methods.","container-title":"Atmospheric Measurement Techniques","DOI":"10.5194/amt-3-397-2010","ISSN":"1867-1381","issue":"2","language":"English","note":"publisher: Copernicus GmbH","page":"397-406","source":"Copernicus Online Journals","title":"Characterizing a Quantum Cascade Tunable Infrared Laser Differential Absorption Spectrometer (QC-TILDAS) for measurements of atmospheric ammonia","volume":"3","author":[{"family":"Ellis","given":"R. A."},{"family":"Murphy","given":"J. G."},{"family":"Pattey","given":"E."},{"family":"Haarlem","given":"R.","non-dropping-particle":"van"},{"family":"O'Brien","given":"J. M."},{"family":"Herndon","given":"S. C."}],"issued":{"date-parts":[["2010",3,30]]}}}],"schema":"https://github.com/citation-style-language/schema/raw/master/csl-citation.json"} </w:instrText>
      </w:r>
      <w:r>
        <w:rPr>
          <w:lang w:val="en-US"/>
        </w:rPr>
        <w:fldChar w:fldCharType="separate"/>
      </w:r>
      <w:r w:rsidRPr="00991988">
        <w:rPr>
          <w:rFonts w:ascii="Calibri" w:hAnsi="Calibri" w:cs="Calibri"/>
          <w:szCs w:val="24"/>
          <w:vertAlign w:val="superscript"/>
          <w:lang w:val="en-US"/>
        </w:rPr>
        <w:t>1</w:t>
      </w:r>
      <w:r>
        <w:rPr>
          <w:lang w:val="en-US"/>
        </w:rPr>
        <w:fldChar w:fldCharType="end"/>
      </w:r>
      <w:r>
        <w:rPr>
          <w:lang w:val="en-US"/>
        </w:rPr>
        <w:t>. LN2 boil off, while NH</w:t>
      </w:r>
      <w:r w:rsidRPr="005245E7">
        <w:rPr>
          <w:vertAlign w:val="subscript"/>
          <w:lang w:val="en-US"/>
        </w:rPr>
        <w:t>3</w:t>
      </w:r>
      <w:r>
        <w:rPr>
          <w:lang w:val="en-US"/>
        </w:rPr>
        <w:t xml:space="preserve"> free, is very cold and dry, rendering it less suitable to background the spectra for ambient measurements. LN2 can provide a spectroscopic zero, but it may not be desirable for backgrounding the absorption spectra when considering surface effects at such low sensitivity for ambient NH</w:t>
      </w:r>
      <w:r w:rsidRPr="005245E7">
        <w:rPr>
          <w:vertAlign w:val="subscript"/>
          <w:lang w:val="en-US"/>
        </w:rPr>
        <w:t>3</w:t>
      </w:r>
      <w:r>
        <w:rPr>
          <w:lang w:val="en-US"/>
        </w:rPr>
        <w:t xml:space="preserve"> measurements. In contrast, the </w:t>
      </w:r>
      <w:r w:rsidR="00066268">
        <w:rPr>
          <w:lang w:val="en-US"/>
        </w:rPr>
        <w:t>zero-air</w:t>
      </w:r>
      <w:r>
        <w:rPr>
          <w:lang w:val="en-US"/>
        </w:rPr>
        <w:t xml:space="preserve"> generator output is humidity-matched with the ambient air, </w:t>
      </w:r>
      <w:r>
        <w:rPr>
          <w:lang w:val="en-US"/>
        </w:rPr>
        <w:lastRenderedPageBreak/>
        <w:t xml:space="preserve">and thus is more representative in terms of composition and surface interactions of ambient air, and thus, may be more viable as a </w:t>
      </w:r>
      <w:r w:rsidR="00AE697C">
        <w:rPr>
          <w:lang w:val="en-US"/>
        </w:rPr>
        <w:t>zero-air</w:t>
      </w:r>
      <w:r>
        <w:rPr>
          <w:lang w:val="en-US"/>
        </w:rPr>
        <w:t xml:space="preserve"> source for ambient NH</w:t>
      </w:r>
      <w:r w:rsidRPr="005245E7">
        <w:rPr>
          <w:vertAlign w:val="subscript"/>
          <w:lang w:val="en-US"/>
        </w:rPr>
        <w:t>3</w:t>
      </w:r>
      <w:r>
        <w:rPr>
          <w:lang w:val="en-US"/>
        </w:rPr>
        <w:t xml:space="preserve"> measurements in our study. </w:t>
      </w:r>
    </w:p>
    <w:p w14:paraId="5782F3CD" w14:textId="06EFB6C0" w:rsidR="002D166E" w:rsidRDefault="002D166E" w:rsidP="002D166E">
      <w:pPr>
        <w:rPr>
          <w:lang w:val="en-US"/>
        </w:rPr>
      </w:pPr>
      <w:r>
        <w:rPr>
          <w:lang w:val="en-US"/>
        </w:rPr>
        <w:t>Indeed, the conclusions of our zero</w:t>
      </w:r>
      <w:r w:rsidR="0057755E">
        <w:rPr>
          <w:lang w:val="en-US"/>
        </w:rPr>
        <w:t>-</w:t>
      </w:r>
      <w:r>
        <w:rPr>
          <w:lang w:val="en-US"/>
        </w:rPr>
        <w:t>air tests are similar to previous studies. Pollack et al.</w:t>
      </w:r>
      <w:r>
        <w:rPr>
          <w:lang w:val="en-US"/>
        </w:rPr>
        <w:fldChar w:fldCharType="begin"/>
      </w:r>
      <w:r>
        <w:rPr>
          <w:lang w:val="en-US"/>
        </w:rPr>
        <w:instrText xml:space="preserve"> ADDIN ZOTERO_ITEM CSL_CITATION {"citationID":"7mrxKFe5","properties":{"formattedCitation":"\\super 6\\nosupersub{}","plainCitation":"6","noteIndex":0},"citationItems":[{"id":914,"uris":["http://zotero.org/users/local/CswXc3Re/items/SLYJRCF2"],"itemData":{"id":914,"type":"article-journal","abstract":"A closed-path quantum-cascade tunable infrared laser direct absorption spectrometer (QC-TILDAS) was outfitted with an inertial inlet for filter-less separation of particles and several custom-designed components including an aircraft inlet, a vibration isolation mounting plate, and a system for optionally adding active continuous passivation for gas-phase measurements of ammonia (NH3) from a research aircraft. The instrument was then deployed on the NSF/NCAR C-130 aircraft during research flights and test flights associated with the Western wildfire Experiment for Cloud chemistry, Aerosol absorption and Nitrogen (WE-CAN) field campaign. The instrument was configured to measure large, rapid gradients in gas-phase NH3, over a range of altitudes, in smoke (e.g., ash and particles), in the boundary layer (e.g., during turbulence and turns), in clouds, and in a hot aircraft cabin (e.g., average aircraft cabin temperatures expected to exceed 30&amp;thinsp;</w:instrText>
      </w:r>
      <w:r>
        <w:rPr>
          <w:rFonts w:ascii="Cambria Math" w:hAnsi="Cambria Math" w:cs="Cambria Math"/>
          <w:lang w:val="en-US"/>
        </w:rPr>
        <w:instrText>∘</w:instrText>
      </w:r>
      <w:r>
        <w:rPr>
          <w:lang w:val="en-US"/>
        </w:rPr>
        <w:instrText xml:space="preserve">C during summer deployments). Important design goals were to minimize motion sensitivity, maintain a reasonable detection limit, and minimize NH3 </w:instrText>
      </w:r>
      <w:r>
        <w:rPr>
          <w:rFonts w:ascii="Calibri" w:hAnsi="Calibri" w:cs="Calibri"/>
          <w:lang w:val="en-US"/>
        </w:rPr>
        <w:instrText>“</w:instrText>
      </w:r>
      <w:r>
        <w:rPr>
          <w:lang w:val="en-US"/>
        </w:rPr>
        <w:instrText>stickiness</w:instrText>
      </w:r>
      <w:r>
        <w:rPr>
          <w:rFonts w:ascii="Calibri" w:hAnsi="Calibri" w:cs="Calibri"/>
          <w:lang w:val="en-US"/>
        </w:rPr>
        <w:instrText>”</w:instrText>
      </w:r>
      <w:r>
        <w:rPr>
          <w:lang w:val="en-US"/>
        </w:rPr>
        <w:instrText xml:space="preserve"> on sampling surfaces to maintain fast time response in flight. The observations indicate that adding a high-frequency vibration to the laser objective in the QC-TILDAS and mounting the QC-TILDAS on a custom-designed vibration isolation plate were successful in minimizing motion sensitivity of the instrument during flight. Allan variance analyses indicate that the in-flight precision of the instrument is 60&amp;thinsp;ppt at 1&amp;thinsp;Hz corresponding to a 3σ detection limit of 180&amp;thinsp;ppt. Zero signals span ±200, or 400&amp;thinsp;pptv total, with cabin pressure and temperature and altitude in flight. The option for active continuous passivation of the sample flow path with 1H,1H-perfluorooctylamine, a strong perfluorinated base, prevented adsorption of both water and basic species to instrument sampling surfaces. Characterization of the time response in flight and on the ground showed that adding passivant to a “clean” instrument system had little impact on the time response. In contrast, passivant addition greatly improved the time response when sampling surfaces became contaminated prior to a test flight. The observations further show that passivant addition can be used to maintain a rapid response for in situ NH3 measurements over the duration of an airborne field campaign (e.g., </w:instrText>
      </w:r>
      <w:r>
        <w:rPr>
          <w:rFonts w:ascii="Cambria Math" w:hAnsi="Cambria Math" w:cs="Cambria Math"/>
          <w:lang w:val="en-US"/>
        </w:rPr>
        <w:instrText>∼</w:instrText>
      </w:r>
      <w:r>
        <w:rPr>
          <w:lang w:val="en-US"/>
        </w:rPr>
        <w:instrText xml:space="preserve">2 months) since passivant addition also helps to prevent future buildup of water and basic species on instrument sampling surfaces. Therefore, we recommend the use of active continuous passivation with closed-path NH3 instruments when rapid (&amp;gt;1&amp;thinsp;Hz) collection of NH3 is important for the scientific objective of a field campaign (e.g., sampling from aircraft or another mobile research platform). Passivant addition can be useful for maintaining optimum operation and data collection in NH3-rich and humid environments or when contamination of sampling surfaces is likely, yet frequent cleaning is not possible. Passivant addition may not be necessary for fast operation, even in polluted environments, if sampling surfaces can be cleaned when the time response has degraded.","container-title":"Atmospheric Measurement Techniques","DOI":"10.5194/amt-12-3717-2019","ISSN":"1867-1381","issue":"7","language":"English","note":"publisher: Copernicus GmbH","page":"3717-3742","source":"Copernicus Online Journals","title":"Evaluation of ambient ammonia measurements from a research aircraft using a closed-path QC-TILDAS operated with active continuous passivation","volume":"12","author":[{"family":"Pollack","given":"Ilana B."},{"family":"Lindaas","given":"Jakob"},{"family":"Roscioli","given":"J. Robert"},{"family":"Agnese","given":"Michael"},{"family":"Permar","given":"Wade"},{"family":"Hu","given":"Lu"},{"family":"Fischer","given":"Emily V."}],"issued":{"date-parts":[["2019",7,10]]}}}],"schema":"https://github.com/citation-style-language/schema/raw/master/csl-citation.json"} </w:instrText>
      </w:r>
      <w:r>
        <w:rPr>
          <w:lang w:val="en-US"/>
        </w:rPr>
        <w:fldChar w:fldCharType="separate"/>
      </w:r>
      <w:r w:rsidRPr="00991988">
        <w:rPr>
          <w:rFonts w:ascii="Calibri" w:hAnsi="Calibri" w:cs="Calibri"/>
          <w:szCs w:val="24"/>
          <w:vertAlign w:val="superscript"/>
          <w:lang w:val="en-US"/>
        </w:rPr>
        <w:t>6</w:t>
      </w:r>
      <w:r>
        <w:rPr>
          <w:lang w:val="en-US"/>
        </w:rPr>
        <w:fldChar w:fldCharType="end"/>
      </w:r>
      <w:r>
        <w:rPr>
          <w:lang w:val="en-US"/>
        </w:rPr>
        <w:t xml:space="preserve"> tested various sources of NH</w:t>
      </w:r>
      <w:r w:rsidRPr="005245E7">
        <w:rPr>
          <w:vertAlign w:val="subscript"/>
          <w:lang w:val="en-US"/>
        </w:rPr>
        <w:t>3</w:t>
      </w:r>
      <w:r>
        <w:rPr>
          <w:lang w:val="en-US"/>
        </w:rPr>
        <w:t xml:space="preserve"> free air to background the spectra in a QC-TILDAS. They used dry ultra-high purity (UHP) air as a spectroscopic zero for NH</w:t>
      </w:r>
      <w:r w:rsidRPr="005245E7">
        <w:rPr>
          <w:vertAlign w:val="subscript"/>
          <w:lang w:val="en-US"/>
        </w:rPr>
        <w:t>3</w:t>
      </w:r>
      <w:r>
        <w:rPr>
          <w:lang w:val="en-US"/>
        </w:rPr>
        <w:t xml:space="preserve"> free air and found that a </w:t>
      </w:r>
      <w:r w:rsidR="00066268">
        <w:rPr>
          <w:lang w:val="en-US"/>
        </w:rPr>
        <w:t>zero-air</w:t>
      </w:r>
      <w:r>
        <w:rPr>
          <w:lang w:val="en-US"/>
        </w:rPr>
        <w:t xml:space="preserve"> generator was also able provide suitable zero</w:t>
      </w:r>
      <w:r w:rsidR="0057755E">
        <w:rPr>
          <w:lang w:val="en-US"/>
        </w:rPr>
        <w:t>-</w:t>
      </w:r>
      <w:r>
        <w:rPr>
          <w:lang w:val="en-US"/>
        </w:rPr>
        <w:t>air in comparison to the dry UHP air. They opted to use the dry UHP air for their zero NH</w:t>
      </w:r>
      <w:r w:rsidRPr="005245E7">
        <w:rPr>
          <w:vertAlign w:val="subscript"/>
          <w:lang w:val="en-US"/>
        </w:rPr>
        <w:t>3</w:t>
      </w:r>
      <w:r>
        <w:rPr>
          <w:lang w:val="en-US"/>
        </w:rPr>
        <w:t xml:space="preserve"> source due to the nature of their study, which was less focused on the lowest ranges of NH</w:t>
      </w:r>
      <w:r w:rsidRPr="005245E7">
        <w:rPr>
          <w:vertAlign w:val="subscript"/>
          <w:lang w:val="en-US"/>
        </w:rPr>
        <w:t>3</w:t>
      </w:r>
      <w:r>
        <w:rPr>
          <w:lang w:val="en-US"/>
        </w:rPr>
        <w:t xml:space="preserve"> mixing ratios (&lt; 100 ppt) and was limited by other considerations associated with aircraft measurements</w:t>
      </w:r>
      <w:r>
        <w:rPr>
          <w:lang w:val="en-US"/>
        </w:rPr>
        <w:fldChar w:fldCharType="begin"/>
      </w:r>
      <w:r>
        <w:rPr>
          <w:lang w:val="en-US"/>
        </w:rPr>
        <w:instrText xml:space="preserve"> ADDIN ZOTERO_ITEM CSL_CITATION {"citationID":"rIhOq0jU","properties":{"formattedCitation":"\\super 6\\nosupersub{}","plainCitation":"6","noteIndex":0},"citationItems":[{"id":914,"uris":["http://zotero.org/users/local/CswXc3Re/items/SLYJRCF2"],"itemData":{"id":914,"type":"article-journal","abstract":"A closed-path quantum-cascade tunable infrared laser direct absorption spectrometer (QC-TILDAS) was outfitted with an inertial inlet for filter-less separation of particles and several custom-designed components including an aircraft inlet, a vibration isolation mounting plate, and a system for optionally adding active continuous passivation for gas-phase measurements of ammonia (NH3) from a research aircraft. The instrument was then deployed on the NSF/NCAR C-130 aircraft during research flights and test flights associated with the Western wildfire Experiment for Cloud chemistry, Aerosol absorption and Nitrogen (WE-CAN) field campaign. The instrument was configured to measure large, rapid gradients in gas-phase NH3, over a range of altitudes, in smoke (e.g., ash and particles), in the boundary layer (e.g., during turbulence and turns), in clouds, and in a hot aircraft cabin (e.g., average aircraft cabin temperatures expected to exceed 30&amp;thinsp;</w:instrText>
      </w:r>
      <w:r>
        <w:rPr>
          <w:rFonts w:ascii="Cambria Math" w:hAnsi="Cambria Math" w:cs="Cambria Math"/>
          <w:lang w:val="en-US"/>
        </w:rPr>
        <w:instrText>∘</w:instrText>
      </w:r>
      <w:r>
        <w:rPr>
          <w:lang w:val="en-US"/>
        </w:rPr>
        <w:instrText xml:space="preserve">C during summer deployments). Important design goals were to minimize motion sensitivity, maintain a reasonable detection limit, and minimize NH3 </w:instrText>
      </w:r>
      <w:r>
        <w:rPr>
          <w:rFonts w:ascii="Calibri" w:hAnsi="Calibri" w:cs="Calibri"/>
          <w:lang w:val="en-US"/>
        </w:rPr>
        <w:instrText>“</w:instrText>
      </w:r>
      <w:r>
        <w:rPr>
          <w:lang w:val="en-US"/>
        </w:rPr>
        <w:instrText>stickiness</w:instrText>
      </w:r>
      <w:r>
        <w:rPr>
          <w:rFonts w:ascii="Calibri" w:hAnsi="Calibri" w:cs="Calibri"/>
          <w:lang w:val="en-US"/>
        </w:rPr>
        <w:instrText>”</w:instrText>
      </w:r>
      <w:r>
        <w:rPr>
          <w:lang w:val="en-US"/>
        </w:rPr>
        <w:instrText xml:space="preserve"> on sampling surfaces to maintain fast time response in flight. The observations indicate that adding a high-frequency vibration to the laser objective in the QC-TILDAS and mounting the QC-TILDAS on a custom-designed vibration isolation plate were successful in minimizing motion sensitivity of the instrument during flight. Allan variance analyses indicate that the in-flight precision of the instrument is 60&amp;thinsp;ppt at 1&amp;thinsp;Hz corresponding to a 3σ detection limit of 180&amp;thinsp;ppt. Zero signals span ±200, or 400&amp;thinsp;pptv total, with cabin pressure and temperature and altitude in flight. The option for active continuous passivation of the sample flow path with 1H,1H-perfluorooctylamine, a strong perfluorinated base, prevented adsorption of both water and basic species to instrument sampling surfaces. Characterization of the time response in flight and on the ground showed that adding passivant to a “clean” instrument system had little impact on the time response. In contrast, passivant addition greatly improved the time response when sampling surfaces became contaminated prior to a test flight. The observations further show that passivant addition can be used to maintain a rapid response for in situ NH3 measurements over the duration of an airborne field campaign (e.g., </w:instrText>
      </w:r>
      <w:r>
        <w:rPr>
          <w:rFonts w:ascii="Cambria Math" w:hAnsi="Cambria Math" w:cs="Cambria Math"/>
          <w:lang w:val="en-US"/>
        </w:rPr>
        <w:instrText>∼</w:instrText>
      </w:r>
      <w:r>
        <w:rPr>
          <w:lang w:val="en-US"/>
        </w:rPr>
        <w:instrText xml:space="preserve">2 months) since passivant addition also helps to prevent future buildup of water and basic species on instrument sampling surfaces. Therefore, we recommend the use of active continuous passivation with closed-path NH3 instruments when rapid (&amp;gt;1&amp;thinsp;Hz) collection of NH3 is important for the scientific objective of a field campaign (e.g., sampling from aircraft or another mobile research platform). Passivant addition can be useful for maintaining optimum operation and data collection in NH3-rich and humid environments or when contamination of sampling surfaces is likely, yet frequent cleaning is not possible. Passivant addition may not be necessary for fast operation, even in polluted environments, if sampling surfaces can be cleaned when the time response has degraded.","container-title":"Atmospheric Measurement Techniques","DOI":"10.5194/amt-12-3717-2019","ISSN":"1867-1381","issue":"7","language":"English","note":"publisher: Copernicus GmbH","page":"3717-3742","source":"Copernicus Online Journals","title":"Evaluation of ambient ammonia measurements from a research aircraft using a closed-path QC-TILDAS operated with active continuous passivation","volume":"12","author":[{"family":"Pollack","given":"Ilana B."},{"family":"Lindaas","given":"Jakob"},{"family":"Roscioli","given":"J. Robert"},{"family":"Agnese","given":"Michael"},{"family":"Permar","given":"Wade"},{"family":"Hu","given":"Lu"},{"family":"Fischer","given":"Emily V."}],"issued":{"date-parts":[["2019",7,10]]}}}],"schema":"https://github.com/citation-style-language/schema/raw/master/csl-citation.json"} </w:instrText>
      </w:r>
      <w:r>
        <w:rPr>
          <w:lang w:val="en-US"/>
        </w:rPr>
        <w:fldChar w:fldCharType="separate"/>
      </w:r>
      <w:r w:rsidRPr="00A17464">
        <w:rPr>
          <w:rFonts w:ascii="Calibri" w:hAnsi="Calibri" w:cs="Calibri"/>
          <w:szCs w:val="24"/>
          <w:vertAlign w:val="superscript"/>
          <w:lang w:val="en-US"/>
        </w:rPr>
        <w:t>6</w:t>
      </w:r>
      <w:r>
        <w:rPr>
          <w:lang w:val="en-US"/>
        </w:rPr>
        <w:fldChar w:fldCharType="end"/>
      </w:r>
      <w:r>
        <w:rPr>
          <w:lang w:val="en-US"/>
        </w:rPr>
        <w:t>. Another study by Moravek et al.</w:t>
      </w:r>
      <w:r>
        <w:rPr>
          <w:lang w:val="en-US"/>
        </w:rPr>
        <w:fldChar w:fldCharType="begin"/>
      </w:r>
      <w:r>
        <w:rPr>
          <w:lang w:val="en-US"/>
        </w:rPr>
        <w:instrText xml:space="preserve"> ADDIN ZOTERO_ITEM CSL_CITATION {"citationID":"ZzzWPqso","properties":{"formattedCitation":"\\super 2\\nosupersub{}","plainCitation":"2","noteIndex":0},"citationItems":[{"id":784,"uris":["http://zotero.org/users/local/CswXc3Re/items/C952RB89"],"itemData":{"id":784,"type":"article-journal","abstract":"Measurements of the surface–atmosphere exchange of ammonia (NH3) are necessary to study the emission and deposition processes of NH3 from managed and natural ecosystems. The eddy covariance technique, which is the most direct method for trace gas exchange measurements at the ecosystem level, requires trace gas detection at a fast sample frequency and high precision. In the past, the major limitation for measuring NH3 eddy covariance fluxes has been the slow time response of NH3 measurements due to NH3 adsorption on instrument surfaces. While high-frequency attenuation correction methods are used, large uncertainties in these corrections still exist, which are mainly due to the lack of understanding of the processes that govern the time response. We measured NH3 fluxes over a corn crop field using a quantum cascade laser spectrometer (QCL) that enables measurements of NH3 at a 10&amp;thinsp;Hz measurement frequency. The 5-month measurement period covered a large range of environmental conditions that included both periods of NH3 emission and deposition and allowed us to investigate the time response controlling parameters under field conditions. Without high-frequency loss correction, the median daytime NH3 flux was 8.59&amp;thinsp;ng&amp;thinsp;m−2&amp;thinsp;s−1 during emission and −19.87&amp;thinsp;ng&amp;thinsp;m−2&amp;thinsp;s−1 during deposition periods, with a median daytime random flux error of 1.61&amp;thinsp;ng&amp;thinsp;m−2&amp;thinsp;s−1. The overall median flux detection limit was 2.15&amp;thinsp;ng&amp;thinsp;m−2&amp;thinsp;s−1, leading to only 11.6&amp;thinsp;% of valid flux data below the detection limit. From the flux attenuation analysis, we determined a median flux loss of 17&amp;thinsp;% using the ogive method. No correlations of the flux loss with environmental or analyser parameters (such as humidity or inlet ageing) were found, which was attributed to the uncertainties in the ogive method. Therefore, we propose a new method that simulates the flux loss by using the analyser time response that is determined frequently over the course of the measurement campaign. A correction that uses as a function of the horizontal wind speed and the time response is formulated which accounts for surface ageing and contamination over the course of the experiment. Using this method, the median flux loss was calculated to be 46&amp;thinsp;%, which was substantially higher than with the ogive method.","container-title":"Atmospheric Measurement Techniques","DOI":"10.5194/amt-12-6059-2019","ISSN":"1867-1381","issue":"11","language":"English","note":"publisher: Copernicus GmbH","page":"6059-6078","source":"Copernicus Online Journals","title":"Measurements and quality control of ammonia eddy covariance fluxes: a new strategy for high-frequency attenuation correction","title-short":"Measurements and quality control of ammonia eddy covariance fluxes","volume":"12","author":[{"family":"Moravek","given":"Alexander"},{"family":"Singh","given":"Saumya"},{"family":"Pattey","given":"Elizabeth"},{"family":"Pelletier","given":"Luc"},{"family":"Murphy","given":"Jennifer G."}],"issued":{"date-parts":[["2019",11,21]]}}}],"schema":"https://github.com/citation-style-language/schema/raw/master/csl-citation.json"} </w:instrText>
      </w:r>
      <w:r>
        <w:rPr>
          <w:lang w:val="en-US"/>
        </w:rPr>
        <w:fldChar w:fldCharType="separate"/>
      </w:r>
      <w:r w:rsidRPr="00A17464">
        <w:rPr>
          <w:rFonts w:ascii="Calibri" w:hAnsi="Calibri" w:cs="Calibri"/>
          <w:szCs w:val="24"/>
          <w:vertAlign w:val="superscript"/>
          <w:lang w:val="en-US"/>
        </w:rPr>
        <w:t>2</w:t>
      </w:r>
      <w:r>
        <w:rPr>
          <w:lang w:val="en-US"/>
        </w:rPr>
        <w:fldChar w:fldCharType="end"/>
      </w:r>
      <w:r>
        <w:rPr>
          <w:lang w:val="en-US"/>
        </w:rPr>
        <w:t xml:space="preserve"> used both a zero</w:t>
      </w:r>
      <w:r w:rsidR="006D09BF">
        <w:rPr>
          <w:lang w:val="en-US"/>
        </w:rPr>
        <w:t>-</w:t>
      </w:r>
      <w:r>
        <w:rPr>
          <w:lang w:val="en-US"/>
        </w:rPr>
        <w:t>air generator and dry UHP for NH</w:t>
      </w:r>
      <w:r w:rsidRPr="005245E7">
        <w:rPr>
          <w:vertAlign w:val="subscript"/>
          <w:lang w:val="en-US"/>
        </w:rPr>
        <w:t>3</w:t>
      </w:r>
      <w:r>
        <w:rPr>
          <w:lang w:val="en-US"/>
        </w:rPr>
        <w:t xml:space="preserve"> backgrounds in ambient measurements. They compared the instrument response to both zero</w:t>
      </w:r>
      <w:r w:rsidR="006D09BF">
        <w:rPr>
          <w:lang w:val="en-US"/>
        </w:rPr>
        <w:t>-</w:t>
      </w:r>
      <w:r>
        <w:rPr>
          <w:lang w:val="en-US"/>
        </w:rPr>
        <w:t xml:space="preserve">air sources and found that humidity of the </w:t>
      </w:r>
      <w:r w:rsidR="00066268">
        <w:rPr>
          <w:lang w:val="en-US"/>
        </w:rPr>
        <w:t>zero-air</w:t>
      </w:r>
      <w:r>
        <w:rPr>
          <w:lang w:val="en-US"/>
        </w:rPr>
        <w:t xml:space="preserve"> source was an important consideration in the instrument’s time response to zero</w:t>
      </w:r>
      <w:r w:rsidR="006D09BF">
        <w:rPr>
          <w:lang w:val="en-US"/>
        </w:rPr>
        <w:t>-</w:t>
      </w:r>
      <w:r>
        <w:rPr>
          <w:lang w:val="en-US"/>
        </w:rPr>
        <w:t>air. The dry UHP air showed better time response due to less competition between NH</w:t>
      </w:r>
      <w:r w:rsidRPr="005245E7">
        <w:rPr>
          <w:vertAlign w:val="subscript"/>
          <w:lang w:val="en-US"/>
        </w:rPr>
        <w:t>3</w:t>
      </w:r>
      <w:r>
        <w:rPr>
          <w:lang w:val="en-US"/>
        </w:rPr>
        <w:t xml:space="preserve"> and water vapor on adsorption sites on sampling surfaces, whereas the zero</w:t>
      </w:r>
      <w:r w:rsidR="006D09BF">
        <w:rPr>
          <w:lang w:val="en-US"/>
        </w:rPr>
        <w:t>-</w:t>
      </w:r>
      <w:r>
        <w:rPr>
          <w:lang w:val="en-US"/>
        </w:rPr>
        <w:t>air generator exhibited a slower time response but was more robust against changes in ambient relative humidity</w:t>
      </w:r>
      <w:r>
        <w:rPr>
          <w:lang w:val="en-US"/>
        </w:rPr>
        <w:fldChar w:fldCharType="begin"/>
      </w:r>
      <w:r>
        <w:rPr>
          <w:lang w:val="en-US"/>
        </w:rPr>
        <w:instrText xml:space="preserve"> ADDIN ZOTERO_ITEM CSL_CITATION {"citationID":"iBkXcDDS","properties":{"formattedCitation":"\\super 2\\nosupersub{}","plainCitation":"2","noteIndex":0},"citationItems":[{"id":784,"uris":["http://zotero.org/users/local/CswXc3Re/items/C952RB89"],"itemData":{"id":784,"type":"article-journal","abstract":"Measurements of the surface–atmosphere exchange of ammonia (NH3) are necessary to study the emission and deposition processes of NH3 from managed and natural ecosystems. The eddy covariance technique, which is the most direct method for trace gas exchange measurements at the ecosystem level, requires trace gas detection at a fast sample frequency and high precision. In the past, the major limitation for measuring NH3 eddy covariance fluxes has been the slow time response of NH3 measurements due to NH3 adsorption on instrument surfaces. While high-frequency attenuation correction methods are used, large uncertainties in these corrections still exist, which are mainly due to the lack of understanding of the processes that govern the time response. We measured NH3 fluxes over a corn crop field using a quantum cascade laser spectrometer (QCL) that enables measurements of NH3 at a 10&amp;thinsp;Hz measurement frequency. The 5-month measurement period covered a large range of environmental conditions that included both periods of NH3 emission and deposition and allowed us to investigate the time response controlling parameters under field conditions. Without high-frequency loss correction, the median daytime NH3 flux was 8.59&amp;thinsp;ng&amp;thinsp;m−2&amp;thinsp;s−1 during emission and −19.87&amp;thinsp;ng&amp;thinsp;m−2&amp;thinsp;s−1 during deposition periods, with a median daytime random flux error of 1.61&amp;thinsp;ng&amp;thinsp;m−2&amp;thinsp;s−1. The overall median flux detection limit was 2.15&amp;thinsp;ng&amp;thinsp;m−2&amp;thinsp;s−1, leading to only 11.6&amp;thinsp;% of valid flux data below the detection limit. From the flux attenuation analysis, we determined a median flux loss of 17&amp;thinsp;% using the ogive method. No correlations of the flux loss with environmental or analyser parameters (such as humidity or inlet ageing) were found, which was attributed to the uncertainties in the ogive method. Therefore, we propose a new method that simulates the flux loss by using the analyser time response that is determined frequently over the course of the measurement campaign. A correction that uses as a function of the horizontal wind speed and the time response is formulated which accounts for surface ageing and contamination over the course of the experiment. Using this method, the median flux loss was calculated to be 46&amp;thinsp;%, which was substantially higher than with the ogive method.","container-title":"Atmospheric Measurement Techniques","DOI":"10.5194/amt-12-6059-2019","ISSN":"1867-1381","issue":"11","language":"English","note":"publisher: Copernicus GmbH","page":"6059-6078","source":"Copernicus Online Journals","title":"Measurements and quality control of ammonia eddy covariance fluxes: a new strategy for high-frequency attenuation correction","title-short":"Measurements and quality control of ammonia eddy covariance fluxes","volume":"12","author":[{"family":"Moravek","given":"Alexander"},{"family":"Singh","given":"Saumya"},{"family":"Pattey","given":"Elizabeth"},{"family":"Pelletier","given":"Luc"},{"family":"Murphy","given":"Jennifer G."}],"issued":{"date-parts":[["2019",11,21]]}}}],"schema":"https://github.com/citation-style-language/schema/raw/master/csl-citation.json"} </w:instrText>
      </w:r>
      <w:r>
        <w:rPr>
          <w:lang w:val="en-US"/>
        </w:rPr>
        <w:fldChar w:fldCharType="separate"/>
      </w:r>
      <w:r w:rsidRPr="00C2420F">
        <w:rPr>
          <w:rFonts w:ascii="Calibri" w:hAnsi="Calibri" w:cs="Calibri"/>
          <w:szCs w:val="24"/>
          <w:vertAlign w:val="superscript"/>
          <w:lang w:val="en-US"/>
        </w:rPr>
        <w:t>2</w:t>
      </w:r>
      <w:r>
        <w:rPr>
          <w:lang w:val="en-US"/>
        </w:rPr>
        <w:fldChar w:fldCharType="end"/>
      </w:r>
      <w:r>
        <w:rPr>
          <w:lang w:val="en-US"/>
        </w:rPr>
        <w:t>.</w:t>
      </w:r>
    </w:p>
    <w:p w14:paraId="55CFF1D0" w14:textId="77777777" w:rsidR="002D166E" w:rsidRPr="00615BD9" w:rsidRDefault="002D166E" w:rsidP="002D166E">
      <w:pPr>
        <w:rPr>
          <w:lang w:val="en-US"/>
        </w:rPr>
      </w:pPr>
    </w:p>
    <w:p w14:paraId="257C9972" w14:textId="77777777" w:rsidR="002D166E" w:rsidRDefault="002D166E" w:rsidP="002D166E">
      <w:pPr>
        <w:rPr>
          <w:b/>
          <w:bCs/>
          <w:lang w:val="en-US"/>
        </w:rPr>
      </w:pPr>
      <w:r>
        <w:rPr>
          <w:b/>
          <w:bCs/>
          <w:lang w:val="en-US"/>
        </w:rPr>
        <w:t>Ammonia limit of detection</w:t>
      </w:r>
    </w:p>
    <w:bookmarkEnd w:id="2"/>
    <w:p w14:paraId="38177EEF" w14:textId="77777777" w:rsidR="002D166E" w:rsidRDefault="002D166E" w:rsidP="002D166E">
      <w:pPr>
        <w:spacing w:after="0" w:line="240" w:lineRule="auto"/>
        <w:rPr>
          <w:rFonts w:eastAsia="Times New Roman"/>
          <w:lang w:val="en-US"/>
        </w:rPr>
      </w:pPr>
      <w:r>
        <w:rPr>
          <w:rFonts w:eastAsia="Times New Roman"/>
          <w:lang w:val="en-US"/>
        </w:rPr>
        <w:t>The limit of detection (LOD) of</w:t>
      </w:r>
      <w:r w:rsidRPr="005D33E9">
        <w:rPr>
          <w:rFonts w:eastAsia="Times New Roman"/>
          <w:lang w:val="en-US"/>
        </w:rPr>
        <w:t xml:space="preserve"> absorption spectrometer measurements </w:t>
      </w:r>
      <w:r>
        <w:rPr>
          <w:rFonts w:eastAsia="Times New Roman"/>
          <w:lang w:val="en-US"/>
        </w:rPr>
        <w:t>are often reported</w:t>
      </w:r>
      <w:r w:rsidRPr="005D33E9">
        <w:rPr>
          <w:rFonts w:eastAsia="Times New Roman"/>
          <w:lang w:val="en-US"/>
        </w:rPr>
        <w:t xml:space="preserve"> as</w:t>
      </w:r>
      <w:r>
        <w:rPr>
          <w:rFonts w:eastAsia="Times New Roman"/>
          <w:lang w:val="en-US"/>
        </w:rPr>
        <w:t xml:space="preserve"> three times the standard deviation (STD) of the instrumental precision</w:t>
      </w:r>
      <w:r w:rsidRPr="005D33E9">
        <w:rPr>
          <w:rFonts w:eastAsia="Times New Roman"/>
          <w:lang w:val="en-US"/>
        </w:rPr>
        <w:t xml:space="preserve">, where different </w:t>
      </w:r>
      <w:r>
        <w:rPr>
          <w:rFonts w:eastAsia="Times New Roman"/>
          <w:lang w:val="en-US"/>
        </w:rPr>
        <w:t>LODs</w:t>
      </w:r>
      <w:r w:rsidRPr="005D33E9">
        <w:rPr>
          <w:rFonts w:eastAsia="Times New Roman"/>
          <w:lang w:val="en-US"/>
        </w:rPr>
        <w:t xml:space="preserve"> </w:t>
      </w:r>
      <w:r>
        <w:rPr>
          <w:rFonts w:eastAsia="Times New Roman"/>
          <w:lang w:val="en-US"/>
        </w:rPr>
        <w:t>are determined according to</w:t>
      </w:r>
      <w:r w:rsidRPr="005D33E9">
        <w:rPr>
          <w:rFonts w:eastAsia="Times New Roman"/>
          <w:lang w:val="en-US"/>
        </w:rPr>
        <w:t xml:space="preserve"> </w:t>
      </w:r>
      <w:r>
        <w:rPr>
          <w:rFonts w:eastAsia="Times New Roman"/>
          <w:lang w:val="en-US"/>
        </w:rPr>
        <w:t>integration</w:t>
      </w:r>
      <w:r w:rsidRPr="005D33E9">
        <w:rPr>
          <w:rFonts w:eastAsia="Times New Roman"/>
          <w:lang w:val="en-US"/>
        </w:rPr>
        <w:t xml:space="preserve"> time from</w:t>
      </w:r>
      <w:r>
        <w:rPr>
          <w:rFonts w:eastAsia="Times New Roman"/>
          <w:lang w:val="en-US"/>
        </w:rPr>
        <w:t xml:space="preserve"> the</w:t>
      </w:r>
      <w:r w:rsidRPr="005D33E9">
        <w:rPr>
          <w:rFonts w:eastAsia="Times New Roman"/>
          <w:lang w:val="en-US"/>
        </w:rPr>
        <w:t xml:space="preserve"> Allan-Werle variance</w:t>
      </w:r>
      <w:r>
        <w:rPr>
          <w:rFonts w:eastAsia="Times New Roman"/>
          <w:lang w:val="en-US"/>
        </w:rPr>
        <w:t xml:space="preserve"> calculated</w:t>
      </w:r>
      <w:r w:rsidRPr="005D33E9">
        <w:rPr>
          <w:rFonts w:eastAsia="Times New Roman"/>
          <w:lang w:val="en-US"/>
        </w:rPr>
        <w:t xml:space="preserve"> </w:t>
      </w:r>
      <w:r>
        <w:rPr>
          <w:rFonts w:eastAsia="Times New Roman"/>
          <w:lang w:val="en-US"/>
        </w:rPr>
        <w:t>on</w:t>
      </w:r>
      <w:r w:rsidRPr="005D33E9">
        <w:rPr>
          <w:rFonts w:eastAsia="Times New Roman"/>
          <w:lang w:val="en-US"/>
        </w:rPr>
        <w:t xml:space="preserve"> </w:t>
      </w:r>
      <w:r>
        <w:rPr>
          <w:rFonts w:eastAsia="Times New Roman"/>
          <w:lang w:val="en-US"/>
        </w:rPr>
        <w:t>measurement</w:t>
      </w:r>
      <w:r w:rsidRPr="005D33E9">
        <w:rPr>
          <w:rFonts w:eastAsia="Times New Roman"/>
          <w:lang w:val="en-US"/>
        </w:rPr>
        <w:t xml:space="preserve"> data</w:t>
      </w:r>
      <w:r>
        <w:rPr>
          <w:rFonts w:eastAsia="Times New Roman"/>
          <w:lang w:val="en-US"/>
        </w:rPr>
        <w:t>.</w:t>
      </w:r>
      <w:r w:rsidRPr="00896C84">
        <w:rPr>
          <w:rFonts w:eastAsia="Times New Roman"/>
          <w:lang w:val="en-US"/>
        </w:rPr>
        <w:t xml:space="preserve"> </w:t>
      </w:r>
      <w:r>
        <w:rPr>
          <w:rFonts w:eastAsia="Times New Roman"/>
          <w:lang w:val="en-US"/>
        </w:rPr>
        <w:t xml:space="preserve">Averaging is desirable to improve the LOD, as 1 second noise is always greater compared to longer integration times. </w:t>
      </w:r>
      <w:r w:rsidRPr="00896C84">
        <w:rPr>
          <w:rFonts w:eastAsia="Times New Roman"/>
          <w:lang w:val="en-US"/>
        </w:rPr>
        <w:t>This is common in the literature</w:t>
      </w:r>
      <w:r>
        <w:rPr>
          <w:rFonts w:eastAsia="Times New Roman"/>
          <w:lang w:val="en-US"/>
        </w:rPr>
        <w:fldChar w:fldCharType="begin"/>
      </w:r>
      <w:r>
        <w:rPr>
          <w:rFonts w:eastAsia="Times New Roman"/>
          <w:lang w:val="en-US"/>
        </w:rPr>
        <w:instrText xml:space="preserve"> ADDIN ZOTERO_ITEM CSL_CITATION {"citationID":"b2oXl4VU","properties":{"formattedCitation":"\\super 7,8\\nosupersub{}","plainCitation":"7,8","noteIndex":0},"citationItems":[{"id":861,"uris":["http://zotero.org/users/local/CswXc3Re/items/WI87SW2Y"],"itemData":{"id":861,"type":"article-journal","abstract":"The largest inorganic, gas-phase reservoir of chlorine atoms in the atmosphere is hydrogen chloride (HCl), but challenges in quantitative sampling of this compound cause difficulties for obtaining high-quality, high-frequency measurements. In this work, tunable infrared laser direct absorption spectroscopy (TILDAS) was demonstrated to be a superior optical method for sensitive, in situ detection of HCl at the 2925.89645 cm−1 absorption line using a 3 µm inter-band cascade laser. The instrument has an effective path length of 204 m, 1 Hz precision of 7–8 pptv, and 3σ limit of detection ranging from 21 to 24 pptv. For longer averaging times, the highest precision obtained was 0.5 pptv with a 3σ limit of detection of 1.6 pptv at 2.4 min. HCl-TILDAS was also shown to have high accuracy when compared with a certified gas cylinder, yielding a linear slope within the expected 5 % tolerance of the reported cylinder concentration (slope = 0.964 ± 0.008). The use of heated inlet lines and active chemical passivation greatly improve the instrument response times to changes in HCl mixing ratios, with minimum 90 % response times ranging from 1.2 to 4.4 s depending on inlet flow rate. However, these response times lengthened at relative humidities &amp;gt;50 %, conditions under which HCl concentration standards were found to elicit a significantly lower response (−5.8 %). The addition of high concentrations of gas-phase nitric acid (&amp;gt;3.0 ppbv) were found to increase HCl signal (&amp;lt;10 %), likely due to acid displacement with HCl or particulate chloride adsorbed to inlet surfaces. The equilibrium model ISORROPIA suggested a potential of particulate chloride partitioning into HCl gas within the heated inlet system if allowed to thermally equilibrate, but field results did not demonstrate a clear relationship between particulate chloride and HCl signal obtained with a denuder installed on the inlet.","container-title":"Atmospheric Measurement Techniques","DOI":"10.5194/amt-16-1407-2023","ISSN":"1867-1381","issue":"5","language":"English","note":"publisher: Copernicus GmbH","page":"1407-1429","source":"Copernicus Online Journals","title":"Using tunable infrared laser direct absorption spectroscopy for ambient hydrogen chloride detection: HCl-TILDAS","title-short":"Using tunable infrared laser direct absorption spectroscopy for ambient hydrogen chloride detection","volume":"16","author":[{"family":"Halfacre","given":"John W."},{"family":"Stewart","given":"Jordan"},{"family":"Herndon","given":"Scott C."},{"family":"Roscioli","given":"Joseph R."},{"family":"Dyroff","given":"Christoph"},{"family":"Yacovitch","given":"Tara I."},{"family":"Flynn","given":"Michael"},{"family":"Andrews","given":"Stephen J."},{"family":"Brown","given":"Steven S."},{"family":"Veres","given":"Patrick R."},{"family":"Edwards","given":"Pete M."}],"issued":{"date-parts":[["2023",3,16]]}}},{"id":927,"uris":["http://zotero.org/users/local/CswXc3Re/items/SKJKMP6B"],"itemData":{"id":927,"type":"article-journal","abstract":"Modern research in atmospheric chemistry requires highly sensitive techniques for the measurement of concentrations of free radicals which determine the rate of photochemical destruction of most atmospheric pollutants. Tunable diode-laser absorption spectroscopy (TDLAS) has already been successfully used for measurements of very low concentrations of stable gases, but further improvement in its sensitivity by signal averaging has been limited by the stability of the instrument. In this paper the concept of the Allan variance is utilized to analyze the stability of an existing frequency-modulated (FM) TDLAS instrument leading to a detection limit for NO2 of 34 pptv at 6 Hz detection bandwidth. The stability of the instrument allows averaging over 60 s. Taking into account the measuring cycle consisting of the determination of the sample spectra and zero air spectra as well as gas exchange in the absorption cell, the detection limit achievable with this particular instrument was 10 pptv within 25 s under laboratory conditions. Possibilities of further improvement of the detection limit are discussed.","container-title":"Applied Physics B","DOI":"10.1007/BF00425997","ISSN":"1432-0649","issue":"2","journalAbbreviation":"Appl. Phys. B","language":"en","page":"131-139","source":"Springer Link","title":"The limits of signal averaging in atmospheric trace-gas monitoring by tunable diode-laser absorption spectroscopy (TDLAS)","volume":"57","author":[{"family":"Werle","given":"P."},{"family":"Mücke","given":"R."},{"family":"Slemr","given":"F."}],"issued":{"date-parts":[["1993",8,1]]}}}],"schema":"https://github.com/citation-style-language/schema/raw/master/csl-citation.json"} </w:instrText>
      </w:r>
      <w:r>
        <w:rPr>
          <w:rFonts w:eastAsia="Times New Roman"/>
          <w:lang w:val="en-US"/>
        </w:rPr>
        <w:fldChar w:fldCharType="separate"/>
      </w:r>
      <w:r w:rsidRPr="00CD5F5F">
        <w:rPr>
          <w:rFonts w:ascii="Calibri" w:hAnsi="Calibri" w:cs="Calibri"/>
          <w:szCs w:val="24"/>
          <w:vertAlign w:val="superscript"/>
          <w:lang w:val="en-US"/>
        </w:rPr>
        <w:t>7,8</w:t>
      </w:r>
      <w:r>
        <w:rPr>
          <w:rFonts w:eastAsia="Times New Roman"/>
          <w:lang w:val="en-US"/>
        </w:rPr>
        <w:fldChar w:fldCharType="end"/>
      </w:r>
      <w:r>
        <w:rPr>
          <w:rFonts w:eastAsia="Times New Roman"/>
          <w:lang w:val="en-US"/>
        </w:rPr>
        <w:t xml:space="preserve"> and has been applied to previous </w:t>
      </w:r>
      <w:r>
        <w:rPr>
          <w:lang w:val="en-US"/>
        </w:rPr>
        <w:t>NH</w:t>
      </w:r>
      <w:r w:rsidRPr="005245E7">
        <w:rPr>
          <w:vertAlign w:val="subscript"/>
          <w:lang w:val="en-US"/>
        </w:rPr>
        <w:t>3</w:t>
      </w:r>
      <w:r>
        <w:rPr>
          <w:rFonts w:eastAsia="Times New Roman"/>
          <w:lang w:val="en-US"/>
        </w:rPr>
        <w:t xml:space="preserve"> measurements using the QC-TILDAS</w:t>
      </w:r>
      <w:r>
        <w:rPr>
          <w:rFonts w:eastAsia="Times New Roman"/>
          <w:lang w:val="en-US"/>
        </w:rPr>
        <w:fldChar w:fldCharType="begin"/>
      </w:r>
      <w:r>
        <w:rPr>
          <w:rFonts w:eastAsia="Times New Roman"/>
          <w:lang w:val="en-US"/>
        </w:rPr>
        <w:instrText xml:space="preserve"> ADDIN ZOTERO_ITEM CSL_CITATION {"citationID":"f3wZSE4K","properties":{"formattedCitation":"\\super 1,6,9\\nosupersub{}","plainCitation":"1,6,9","noteIndex":0},"citationItems":[{"id":782,"uris":["http://zotero.org/users/local/CswXc3Re/items/5U9S663M"],"itemData":{"id":782,"type":"article-journal","abstract":"A compact, fast-response Quantum Cascade Tunable Infrared Laser Differential Absorption Spectrometer (QC-TILDAS) for measurements of ammonia (NH3) has been evaluated under both laboratory and field conditions. Absorption of radiation from a pulsed, thermoelectrically cooled QC laser occurs at reduced pressure in a 0.5 L multiple pass absorption cell with an effective path length of 76 m. Detection is achieved using a thermoelectrically-cooled Mercury Cadmium Telluride (HgCdTe) infrared detector. A novel sampling inlet was used, consisting of a short, heated, quartz tube with a hydrophobic coating to minimize the adsorption of NH3 to surfaces. The inlet contains a critical orifice that reduces the pressure, a virtual impactor for separation of particles, and additional ports for delivering NH3-free background air and calibration gas standards. The level of noise in this instrument has been found to be 0.23 ppb at 1 Hz. The sampling technique has been compared to the results of a conventional lead salt Tunable Diode Laser Absorption Spectrometer (TDLAS) during a laboratory intercomparison. The effect of humidity and heat on the surface interaction of NH3 with sample tubing was investigated at mixing ratios ranging from 30–1000 ppb. Humidity was seen to worsen the NH3 time response and considerable improvement was observed when using a heated sampling line. A field intercomparison of the QC-TILDAS with a modified Thermo 42CTL chemiluminescence-based analyzer was also performed at Environment Canada's Centre for Atmospheric Research Experiments (CARE) in the rural town of Egbert, ON between May–July 2008. Background tests and calibrations using two different permeation tube sources and an NH3 gas cylinder were regularly carried out throughout the study. Results indicate a very good correlation at 1 min time resolution (R2 = 0.93) between the two instruments at the beginning of the study, when regular background subtraction was applied to the QC-TILDAS. An overall good correlation of R2 = 0.85 was obtained over the entire two month data set, where the majority of the spread can be attributed to differences in inlet design and background subtraction methods.","container-title":"Atmospheric Measurement Techniques","DOI":"10.5194/amt-3-397-2010","ISSN":"1867-1381","issue":"2","language":"English","note":"publisher: Copernicus GmbH","page":"397-406","source":"Copernicus Online Journals","title":"Characterizing a Quantum Cascade Tunable Infrared Laser Differential Absorption Spectrometer (QC-TILDAS) for measurements of atmospheric ammonia","volume":"3","author":[{"family":"Ellis","given":"R. A."},{"family":"Murphy","given":"J. G."},{"family":"Pattey","given":"E."},{"family":"Haarlem","given":"R.","non-dropping-particle":"van"},{"family":"O'Brien","given":"J. M."},{"family":"Herndon","given":"S. C."}],"issued":{"date-parts":[["2010",3,30]]}}},{"id":914,"uris":["http://zotero.org/users/local/CswXc3Re/items/SLYJRCF2"],"itemData":{"id":914,"type":"article-journal","abstract":"A closed-path quantum-cascade tunable infrared laser direct absorption spectrometer (QC-TILDAS) was outfitted with an inertial inlet for filter-less separation of particles and several custom-designed components including an aircraft inlet, a vibration isolation mounting plate, and a system for optionally adding active continuous passivation for gas-phase measurements of ammonia (NH3) from a research aircraft. The instrument was then deployed on the NSF/NCAR C-130 aircraft during research flights and test flights associated with the Western wildfire Experiment for Cloud chemistry, Aerosol absorption and Nitrogen (WE-CAN) field campaign. The instrument was configured to measure large, rapid gradients in gas-phase NH3, over a range of altitudes, in smoke (e.g., ash and particles), in the boundary layer (e.g., during turbulence and turns), in clouds, and in a hot aircraft cabin (e.g., average aircraft cabin temperatures expected to exceed 30&amp;thinsp;</w:instrText>
      </w:r>
      <w:r>
        <w:rPr>
          <w:rFonts w:ascii="Cambria Math" w:eastAsia="Times New Roman" w:hAnsi="Cambria Math" w:cs="Cambria Math"/>
          <w:lang w:val="en-US"/>
        </w:rPr>
        <w:instrText>∘</w:instrText>
      </w:r>
      <w:r>
        <w:rPr>
          <w:rFonts w:eastAsia="Times New Roman"/>
          <w:lang w:val="en-US"/>
        </w:rPr>
        <w:instrText xml:space="preserve">C during summer deployments). Important design goals were to minimize motion sensitivity, maintain a reasonable detection limit, and minimize NH3 </w:instrText>
      </w:r>
      <w:r>
        <w:rPr>
          <w:rFonts w:ascii="Calibri" w:eastAsia="Times New Roman" w:hAnsi="Calibri" w:cs="Calibri"/>
          <w:lang w:val="en-US"/>
        </w:rPr>
        <w:instrText>“</w:instrText>
      </w:r>
      <w:r>
        <w:rPr>
          <w:rFonts w:eastAsia="Times New Roman"/>
          <w:lang w:val="en-US"/>
        </w:rPr>
        <w:instrText>stickiness</w:instrText>
      </w:r>
      <w:r>
        <w:rPr>
          <w:rFonts w:ascii="Calibri" w:eastAsia="Times New Roman" w:hAnsi="Calibri" w:cs="Calibri"/>
          <w:lang w:val="en-US"/>
        </w:rPr>
        <w:instrText>”</w:instrText>
      </w:r>
      <w:r>
        <w:rPr>
          <w:rFonts w:eastAsia="Times New Roman"/>
          <w:lang w:val="en-US"/>
        </w:rPr>
        <w:instrText xml:space="preserve"> on sampling surfaces to maintain fast time response in flight. The observations indicate that adding a high-frequency vibration to the laser objective in the QC-TILDAS and mounting the QC-TILDAS on a custom-designed vibration isolation plate were successful in minimizing motion sensitivity of the instrument during flight. Allan variance analyses indicate that the in-flight precision of the instrument is 60&amp;thinsp;ppt at 1&amp;thinsp;Hz corresponding to a 3σ detection limit of 180&amp;thinsp;ppt. Zero signals span ±200, or 400&amp;thinsp;pptv total, with cabin pressure and temperature and altitude in flight. The option for active continuous passivation of the sample flow path with 1H,1H-perfluorooctylamine, a strong perfluorinated base, prevented adsorption of both water and basic species to instrument sampling surfaces. Characterization of the time response in flight and on the ground showed that adding passivant to a “clean” instrument system had little impact on the time response. In contrast, passivant addition greatly improved the time response when sampling surfaces became contaminated prior to a test flight. The observations further show that passivant addition can be used to maintain a rapid response for in situ NH3 measurements over the duration of an airborne field campaign (e.g., </w:instrText>
      </w:r>
      <w:r>
        <w:rPr>
          <w:rFonts w:ascii="Cambria Math" w:eastAsia="Times New Roman" w:hAnsi="Cambria Math" w:cs="Cambria Math"/>
          <w:lang w:val="en-US"/>
        </w:rPr>
        <w:instrText>∼</w:instrText>
      </w:r>
      <w:r>
        <w:rPr>
          <w:rFonts w:eastAsia="Times New Roman"/>
          <w:lang w:val="en-US"/>
        </w:rPr>
        <w:instrText xml:space="preserve">2 months) since passivant addition also helps to prevent future buildup of water and basic species on instrument sampling surfaces. Therefore, we recommend the use of active continuous passivation with closed-path NH3 instruments when rapid (&amp;gt;1&amp;thinsp;Hz) collection of NH3 is important for the scientific objective of a field campaign (e.g., sampling from aircraft or another mobile research platform). Passivant addition can be useful for maintaining optimum operation and data collection in NH3-rich and humid environments or when contamination of sampling surfaces is likely, yet frequent cleaning is not possible. Passivant addition may not be necessary for fast operation, even in polluted environments, if sampling surfaces can be cleaned when the time response has degraded.","container-title":"Atmospheric Measurement Techniques","DOI":"10.5194/amt-12-3717-2019","ISSN":"1867-1381","issue":"7","language":"English","note":"publisher: Copernicus GmbH","page":"3717-3742","source":"Copernicus Online Journals","title":"Evaluation of ambient ammonia measurements from a research aircraft using a closed-path QC-TILDAS operated with active continuous passivation","volume":"12","author":[{"family":"Pollack","given":"Ilana B."},{"family":"Lindaas","given":"Jakob"},{"family":"Roscioli","given":"J. Robert"},{"family":"Agnese","given":"Michael"},{"family":"Permar","given":"Wade"},{"family":"Hu","given":"Lu"},{"family":"Fischer","given":"Emily V."}],"issued":{"date-parts":[["2019",7,10]]}}},{"id":929,"uris":["http://zotero.org/users/local/CswXc3Re/items/EUA9J6IT"],"itemData":{"id":929,"type":"article-journal","abstract":"Ammonium-containing aerosols are a major component of wintertime air pollution in many densely populated regions around the world. Especially in mountain basins, the formation of persistent cold-air pools (PCAPs) can enhance particulate matter with diameters less than 2.5&amp;thinsp;µm (PM2.5) to levels above air quality standards. Under these conditions, PM2.5 in the Great Salt Lake region of northern Utah has been shown to be primarily composed of ammonium nitrate; however, its formation processes and sources of its precursors are not fully understood. Hence, it is key to understanding the emission sources of its gas phase precursor, ammonia (NH3). To investigate the formation of ammonium nitrate, a suite of trace gases and aerosol composition were sampled from the NOAA Twin Otter aircraft during the Utah Winter Fine Particulate Study (UWFPS) in January and February 2017. NH3 was measured using a quantum cascade tunable infrared laser differential absorption spectrometer (QC-TILDAS), while aerosol composition, including particulate ammonium (pNH4), was measured with an aerosol mass spectrometer (AMS). The origin of the sampled air masses was investigated using the Stochastic Time-Inverted Lagrangian Transport (STILT) model and combined with an NH3 emission inventory to obtain model-predicted NHx (=NH3+pNH4) enhancements. Enhancements represent the increase in NH3 mixing ratios within the last 24&amp;thinsp;h due to emissions within the model footprint. Comparison of these NHx enhancements with measured NHx from the Twin Otter shows that modelled values are a factor of 1.6 to 4.4 lower for the three major valleys in the region. Among these, the underestimation is largest for Cache Valley, an area with intensive agricultural activities. We find that one explanation for the underestimation of wintertime emissions may be the seasonality factors applied to NH3 emissions from livestock. An investigation of inter-valley exchange revealed that transport of NH3 between major valleys was limited and PM2.5 in Salt Lake Valley (the most densely populated area in Utah) was not significantly impacted by NH3 from the agricultural areas in Cache Valley. We found that in Salt Lake Valley around two thirds of NHx originated within the valley, while about 30&amp;thinsp;% originated from mobile sources and 60&amp;thinsp;% from area source emissions in the region. For Cache Valley, a large fraction of NOx potentially leading to PM2.5 formation may not be locally emitted but mixed in from other counties.","container-title":"Atmospheric Chemistry and Physics","DOI":"10.5194/acp-19-15691-2019","ISSN":"1680-7316","issue":"24","language":"English","note":"publisher: Copernicus GmbH","page":"15691-15709","source":"Copernicus Online Journals","title":"Wintertime spatial distribution of ammonia and its emission sources in the Great Salt Lake region","volume":"19","author":[{"family":"Moravek","given":"Alexander"},{"family":"Murphy","given":"Jennifer G."},{"family":"Hrdina","given":"Amy"},{"family":"Lin","given":"John C."},{"family":"Pennell","given":"Christopher"},{"family":"Franchin","given":"Alessandro"},{"family":"Middlebrook","given":"Ann M."},{"family":"Fibiger","given":"Dorothy L."},{"family":"Womack","given":"Caroline C."},{"family":"McDuffie","given":"Erin E."},{"family":"Martin","given":"Randal"},{"family":"Moore","given":"Kori"},{"family":"Baasandorj","given":"Munkhbayar"},{"family":"Brown","given":"Steven S."}],"issued":{"date-parts":[["2019",12,20]]}}}],"schema":"https://github.com/citation-style-language/schema/raw/master/csl-citation.json"} </w:instrText>
      </w:r>
      <w:r>
        <w:rPr>
          <w:rFonts w:eastAsia="Times New Roman"/>
          <w:lang w:val="en-US"/>
        </w:rPr>
        <w:fldChar w:fldCharType="separate"/>
      </w:r>
      <w:r w:rsidRPr="009A4121">
        <w:rPr>
          <w:rFonts w:ascii="Calibri" w:hAnsi="Calibri" w:cs="Calibri"/>
          <w:szCs w:val="24"/>
          <w:vertAlign w:val="superscript"/>
          <w:lang w:val="en-US"/>
        </w:rPr>
        <w:t>1,6,9</w:t>
      </w:r>
      <w:r>
        <w:rPr>
          <w:rFonts w:eastAsia="Times New Roman"/>
          <w:lang w:val="en-US"/>
        </w:rPr>
        <w:fldChar w:fldCharType="end"/>
      </w:r>
      <w:r w:rsidRPr="00896C84">
        <w:rPr>
          <w:rFonts w:eastAsia="Times New Roman"/>
          <w:lang w:val="en-US"/>
        </w:rPr>
        <w:t>.</w:t>
      </w:r>
      <w:r w:rsidRPr="00DA4F99">
        <w:rPr>
          <w:rFonts w:eastAsia="Times New Roman"/>
          <w:lang w:val="en-US"/>
        </w:rPr>
        <w:t xml:space="preserve"> </w:t>
      </w:r>
    </w:p>
    <w:p w14:paraId="786D6C77" w14:textId="77777777" w:rsidR="002D166E" w:rsidRDefault="002D166E" w:rsidP="002D166E">
      <w:pPr>
        <w:spacing w:after="0" w:line="240" w:lineRule="auto"/>
        <w:rPr>
          <w:rFonts w:eastAsia="Times New Roman"/>
          <w:lang w:val="en-US"/>
        </w:rPr>
      </w:pPr>
    </w:p>
    <w:p w14:paraId="18E702AD" w14:textId="39B7967B" w:rsidR="002D166E" w:rsidRDefault="002D166E" w:rsidP="002D166E">
      <w:pPr>
        <w:spacing w:after="0" w:line="240" w:lineRule="auto"/>
        <w:rPr>
          <w:rFonts w:eastAsia="Times New Roman"/>
          <w:lang w:val="en-US"/>
        </w:rPr>
      </w:pPr>
      <w:r>
        <w:rPr>
          <w:rFonts w:eastAsia="Times New Roman"/>
          <w:lang w:val="en-US"/>
        </w:rPr>
        <w:t>Using this approach on our NH</w:t>
      </w:r>
      <w:r w:rsidRPr="00615394">
        <w:rPr>
          <w:rFonts w:eastAsia="Times New Roman"/>
          <w:vertAlign w:val="subscript"/>
          <w:lang w:val="en-US"/>
        </w:rPr>
        <w:t>3</w:t>
      </w:r>
      <w:r>
        <w:rPr>
          <w:rFonts w:eastAsia="Times New Roman"/>
          <w:lang w:val="en-US"/>
        </w:rPr>
        <w:t xml:space="preserve"> data during the campaign, </w:t>
      </w:r>
      <w:r>
        <w:rPr>
          <w:lang w:val="en-US"/>
        </w:rPr>
        <w:t>Allan-Werle variances</w:t>
      </w:r>
      <w:r>
        <w:rPr>
          <w:lang w:val="en-US"/>
        </w:rPr>
        <w:fldChar w:fldCharType="begin"/>
      </w:r>
      <w:r>
        <w:rPr>
          <w:lang w:val="en-US"/>
        </w:rPr>
        <w:instrText xml:space="preserve"> ADDIN ZOTERO_ITEM CSL_CITATION {"citationID":"IBpeJPgh","properties":{"formattedCitation":"\\super 8\\nosupersub{}","plainCitation":"8","noteIndex":0},"citationItems":[{"id":927,"uris":["http://zotero.org/users/local/CswXc3Re/items/SKJKMP6B"],"itemData":{"id":927,"type":"article-journal","abstract":"Modern research in atmospheric chemistry requires highly sensitive techniques for the measurement of concentrations of free radicals which determine the rate of photochemical destruction of most atmospheric pollutants. Tunable diode-laser absorption spectroscopy (TDLAS) has already been successfully used for measurements of very low concentrations of stable gases, but further improvement in its sensitivity by signal averaging has been limited by the stability of the instrument. In this paper the concept of the Allan variance is utilized to analyze the stability of an existing frequency-modulated (FM) TDLAS instrument leading to a detection limit for NO2 of 34 pptv at 6 Hz detection bandwidth. The stability of the instrument allows averaging over 60 s. Taking into account the measuring cycle consisting of the determination of the sample spectra and zero air spectra as well as gas exchange in the absorption cell, the detection limit achievable with this particular instrument was 10 pptv within 25 s under laboratory conditions. Possibilities of further improvement of the detection limit are discussed.","container-title":"Applied Physics B","DOI":"10.1007/BF00425997","ISSN":"1432-0649","issue":"2","journalAbbreviation":"Appl. Phys. B","language":"en","page":"131-139","source":"Springer Link","title":"The limits of signal averaging in atmospheric trace-gas monitoring by tunable diode-laser absorption spectroscopy (TDLAS)","volume":"57","author":[{"family":"Werle","given":"P."},{"family":"Mücke","given":"R."},{"family":"Slemr","given":"F."}],"issued":{"date-parts":[["1993",8,1]]}}}],"schema":"https://github.com/citation-style-language/schema/raw/master/csl-citation.json"} </w:instrText>
      </w:r>
      <w:r>
        <w:rPr>
          <w:lang w:val="en-US"/>
        </w:rPr>
        <w:fldChar w:fldCharType="separate"/>
      </w:r>
      <w:r w:rsidRPr="009315A0">
        <w:rPr>
          <w:rFonts w:ascii="Calibri" w:hAnsi="Calibri" w:cs="Calibri"/>
          <w:szCs w:val="24"/>
          <w:vertAlign w:val="superscript"/>
          <w:lang w:val="en-US"/>
        </w:rPr>
        <w:t>8</w:t>
      </w:r>
      <w:r>
        <w:rPr>
          <w:lang w:val="en-US"/>
        </w:rPr>
        <w:fldChar w:fldCharType="end"/>
      </w:r>
      <w:r>
        <w:rPr>
          <w:lang w:val="en-US"/>
        </w:rPr>
        <w:t xml:space="preserve"> were calculated using 1-hour long periods of NH</w:t>
      </w:r>
      <w:r w:rsidRPr="00075CF9">
        <w:rPr>
          <w:vertAlign w:val="subscript"/>
          <w:lang w:val="en-US"/>
        </w:rPr>
        <w:t>3</w:t>
      </w:r>
      <w:r>
        <w:rPr>
          <w:lang w:val="en-US"/>
        </w:rPr>
        <w:t xml:space="preserve"> signal during the delivery of zero</w:t>
      </w:r>
      <w:r w:rsidR="0057755E">
        <w:rPr>
          <w:lang w:val="en-US"/>
        </w:rPr>
        <w:t>-</w:t>
      </w:r>
      <w:r>
        <w:rPr>
          <w:lang w:val="en-US"/>
        </w:rPr>
        <w:t>air every night at 03:00 UTC (midnight local time). Additional backgrounds of the spectra were not performed during these hour-long periods to allow us to investigate the influence of drift on the reported NH</w:t>
      </w:r>
      <w:r w:rsidRPr="005245E7">
        <w:rPr>
          <w:vertAlign w:val="subscript"/>
          <w:lang w:val="en-US"/>
        </w:rPr>
        <w:t>3</w:t>
      </w:r>
      <w:r>
        <w:rPr>
          <w:lang w:val="en-US"/>
        </w:rPr>
        <w:t xml:space="preserve"> mixing ratios. Refer to Figure S</w:t>
      </w:r>
      <w:r w:rsidR="003A2067">
        <w:rPr>
          <w:lang w:val="en-US"/>
        </w:rPr>
        <w:t>7</w:t>
      </w:r>
      <w:r>
        <w:rPr>
          <w:lang w:val="en-US"/>
        </w:rPr>
        <w:t xml:space="preserve"> for a representative example of the calculated Allan-Werle variance and the corresponding measurement data. From these nightly zero periods, </w:t>
      </w:r>
      <w:r>
        <w:rPr>
          <w:rFonts w:eastAsia="Times New Roman"/>
          <w:lang w:val="en-US"/>
        </w:rPr>
        <w:t>we obtained an average</w:t>
      </w:r>
      <w:r w:rsidRPr="00691506">
        <w:rPr>
          <w:rFonts w:eastAsia="Times New Roman"/>
          <w:lang w:val="en-US"/>
        </w:rPr>
        <w:t xml:space="preserve"> </w:t>
      </w:r>
      <w:r>
        <w:rPr>
          <w:rFonts w:eastAsia="Times New Roman"/>
          <w:lang w:val="en-US"/>
        </w:rPr>
        <w:t>noise, based on the STD from the calculated Allan-Werle variances, of 21.3</w:t>
      </w:r>
      <w:r w:rsidRPr="00691506">
        <w:rPr>
          <w:rFonts w:eastAsia="Times New Roman"/>
          <w:lang w:val="en-US"/>
        </w:rPr>
        <w:t xml:space="preserve"> ppt</w:t>
      </w:r>
      <w:r>
        <w:rPr>
          <w:rFonts w:eastAsia="Times New Roman"/>
          <w:lang w:val="en-US"/>
        </w:rPr>
        <w:t>,</w:t>
      </w:r>
      <w:r w:rsidRPr="00691506">
        <w:rPr>
          <w:rFonts w:eastAsia="Times New Roman"/>
          <w:lang w:val="en-US"/>
        </w:rPr>
        <w:t xml:space="preserve"> </w:t>
      </w:r>
      <w:r>
        <w:rPr>
          <w:rFonts w:eastAsia="Times New Roman"/>
          <w:lang w:val="en-US"/>
        </w:rPr>
        <w:t>7.2</w:t>
      </w:r>
      <w:r w:rsidRPr="00691506">
        <w:rPr>
          <w:rFonts w:eastAsia="Times New Roman"/>
          <w:lang w:val="en-US"/>
        </w:rPr>
        <w:t xml:space="preserve"> ppt</w:t>
      </w:r>
      <w:r>
        <w:rPr>
          <w:rFonts w:eastAsia="Times New Roman"/>
          <w:lang w:val="en-US"/>
        </w:rPr>
        <w:t>, and 4.0 ppt for 1, 10, and 100 second integration times, respectively. The integration time with the lowest noise, on average, was 97 seconds, corresponding to an average STD of 3.5 ppt</w:t>
      </w:r>
      <w:r w:rsidRPr="00691506">
        <w:rPr>
          <w:rFonts w:eastAsia="Times New Roman"/>
          <w:lang w:val="en-US"/>
        </w:rPr>
        <w:t xml:space="preserve">. </w:t>
      </w:r>
      <w:r>
        <w:rPr>
          <w:rFonts w:eastAsia="Times New Roman"/>
          <w:lang w:val="en-US"/>
        </w:rPr>
        <w:t>From this, we can</w:t>
      </w:r>
      <w:r w:rsidRPr="00691506">
        <w:rPr>
          <w:rFonts w:eastAsia="Times New Roman"/>
          <w:lang w:val="en-US"/>
        </w:rPr>
        <w:t xml:space="preserve"> report </w:t>
      </w:r>
      <w:r>
        <w:rPr>
          <w:rFonts w:eastAsia="Times New Roman"/>
          <w:lang w:val="en-US"/>
        </w:rPr>
        <w:t>a</w:t>
      </w:r>
      <w:r w:rsidRPr="00691506">
        <w:rPr>
          <w:rFonts w:eastAsia="Times New Roman"/>
          <w:lang w:val="en-US"/>
        </w:rPr>
        <w:t xml:space="preserve"> LOD </w:t>
      </w:r>
      <w:r>
        <w:rPr>
          <w:rFonts w:eastAsia="Times New Roman"/>
          <w:lang w:val="en-US"/>
        </w:rPr>
        <w:t xml:space="preserve">for </w:t>
      </w:r>
      <w:r>
        <w:rPr>
          <w:lang w:val="en-US"/>
        </w:rPr>
        <w:t>NH</w:t>
      </w:r>
      <w:r w:rsidRPr="005245E7">
        <w:rPr>
          <w:vertAlign w:val="subscript"/>
          <w:lang w:val="en-US"/>
        </w:rPr>
        <w:t>3</w:t>
      </w:r>
      <w:r>
        <w:rPr>
          <w:vertAlign w:val="subscript"/>
          <w:lang w:val="en-US"/>
        </w:rPr>
        <w:t xml:space="preserve"> </w:t>
      </w:r>
      <w:r w:rsidRPr="00691506">
        <w:rPr>
          <w:rFonts w:eastAsia="Times New Roman"/>
          <w:lang w:val="en-US"/>
        </w:rPr>
        <w:t xml:space="preserve">of </w:t>
      </w:r>
      <w:r>
        <w:rPr>
          <w:rFonts w:eastAsia="Times New Roman"/>
          <w:lang w:val="en-US"/>
        </w:rPr>
        <w:t>10.5</w:t>
      </w:r>
      <w:r w:rsidRPr="00691506">
        <w:rPr>
          <w:rFonts w:eastAsia="Times New Roman"/>
          <w:lang w:val="en-US"/>
        </w:rPr>
        <w:t xml:space="preserve"> ppt </w:t>
      </w:r>
      <w:r>
        <w:rPr>
          <w:rFonts w:eastAsia="Times New Roman"/>
          <w:lang w:val="en-US"/>
        </w:rPr>
        <w:t>when averaging the data over 97 seconds</w:t>
      </w:r>
      <w:r w:rsidRPr="00691506">
        <w:rPr>
          <w:rFonts w:eastAsia="Times New Roman"/>
          <w:lang w:val="en-US"/>
        </w:rPr>
        <w:t>.</w:t>
      </w:r>
    </w:p>
    <w:p w14:paraId="715E5A9F" w14:textId="77777777" w:rsidR="002D166E" w:rsidRDefault="002D166E" w:rsidP="002D166E">
      <w:pPr>
        <w:spacing w:after="0" w:line="240" w:lineRule="auto"/>
        <w:rPr>
          <w:rFonts w:eastAsia="Times New Roman"/>
          <w:lang w:val="en-US"/>
        </w:rPr>
      </w:pPr>
    </w:p>
    <w:p w14:paraId="4BC7734E" w14:textId="1F1ACA35" w:rsidR="002D166E" w:rsidRDefault="002D166E" w:rsidP="002D166E">
      <w:pPr>
        <w:spacing w:after="0" w:line="240" w:lineRule="auto"/>
        <w:rPr>
          <w:rFonts w:eastAsia="Times New Roman"/>
          <w:lang w:val="en-US"/>
        </w:rPr>
      </w:pPr>
      <w:r>
        <w:rPr>
          <w:rFonts w:eastAsia="Times New Roman"/>
          <w:lang w:val="en-US"/>
        </w:rPr>
        <w:t xml:space="preserve">We can also report the noise level by considering the root mean square (RMS) directly from the </w:t>
      </w:r>
      <w:r>
        <w:rPr>
          <w:lang w:val="en-US"/>
        </w:rPr>
        <w:t>NH</w:t>
      </w:r>
      <w:r w:rsidRPr="005245E7">
        <w:rPr>
          <w:vertAlign w:val="subscript"/>
          <w:lang w:val="en-US"/>
        </w:rPr>
        <w:t>3</w:t>
      </w:r>
      <w:r>
        <w:rPr>
          <w:rFonts w:eastAsia="Times New Roman"/>
          <w:lang w:val="en-US"/>
        </w:rPr>
        <w:t xml:space="preserve"> signal. </w:t>
      </w:r>
      <w:r w:rsidRPr="005C196A">
        <w:rPr>
          <w:rFonts w:eastAsia="Times New Roman"/>
          <w:lang w:val="en-US"/>
        </w:rPr>
        <w:t>For the 1 second data, th</w:t>
      </w:r>
      <w:r>
        <w:rPr>
          <w:rFonts w:eastAsia="Times New Roman"/>
          <w:lang w:val="en-US"/>
        </w:rPr>
        <w:t xml:space="preserve">e average RMS </w:t>
      </w:r>
      <w:r w:rsidRPr="005C196A">
        <w:rPr>
          <w:rFonts w:eastAsia="Times New Roman"/>
          <w:lang w:val="en-US"/>
        </w:rPr>
        <w:t>is ~2</w:t>
      </w:r>
      <w:r>
        <w:rPr>
          <w:rFonts w:eastAsia="Times New Roman"/>
          <w:lang w:val="en-US"/>
        </w:rPr>
        <w:t>5</w:t>
      </w:r>
      <w:r w:rsidRPr="005C196A">
        <w:rPr>
          <w:rFonts w:eastAsia="Times New Roman"/>
          <w:lang w:val="en-US"/>
        </w:rPr>
        <w:t xml:space="preserve"> ppt</w:t>
      </w:r>
      <w:r>
        <w:rPr>
          <w:rFonts w:eastAsia="Times New Roman"/>
          <w:lang w:val="en-US"/>
        </w:rPr>
        <w:t xml:space="preserve"> during the last 30 seconds of zero</w:t>
      </w:r>
      <w:r w:rsidR="0057755E">
        <w:rPr>
          <w:rFonts w:eastAsia="Times New Roman"/>
          <w:lang w:val="en-US"/>
        </w:rPr>
        <w:t>-</w:t>
      </w:r>
      <w:r>
        <w:rPr>
          <w:rFonts w:eastAsia="Times New Roman"/>
          <w:lang w:val="en-US"/>
        </w:rPr>
        <w:t>air delivery before background spectra were recorded as part of the regular measurement cycle.</w:t>
      </w:r>
      <w:r w:rsidRPr="005C196A">
        <w:rPr>
          <w:rFonts w:eastAsia="Times New Roman"/>
          <w:lang w:val="en-US"/>
        </w:rPr>
        <w:t xml:space="preserve"> </w:t>
      </w:r>
      <w:r>
        <w:rPr>
          <w:rFonts w:eastAsia="Times New Roman"/>
          <w:lang w:val="en-US"/>
        </w:rPr>
        <w:t>The RMS is similar in magnitude to</w:t>
      </w:r>
      <w:r w:rsidRPr="005C196A">
        <w:rPr>
          <w:rFonts w:eastAsia="Times New Roman"/>
          <w:lang w:val="en-US"/>
        </w:rPr>
        <w:t xml:space="preserve"> </w:t>
      </w:r>
      <w:r>
        <w:rPr>
          <w:rFonts w:eastAsia="Times New Roman"/>
          <w:lang w:val="en-US"/>
        </w:rPr>
        <w:t>the 1-second noise</w:t>
      </w:r>
      <w:r w:rsidRPr="005C196A">
        <w:rPr>
          <w:rFonts w:eastAsia="Times New Roman"/>
          <w:lang w:val="en-US"/>
        </w:rPr>
        <w:t xml:space="preserve"> </w:t>
      </w:r>
      <w:r>
        <w:rPr>
          <w:rFonts w:eastAsia="Times New Roman"/>
          <w:lang w:val="en-US"/>
        </w:rPr>
        <w:t>obtained from the</w:t>
      </w:r>
      <w:r w:rsidRPr="005C196A">
        <w:rPr>
          <w:rFonts w:eastAsia="Times New Roman"/>
          <w:lang w:val="en-US"/>
        </w:rPr>
        <w:t xml:space="preserve"> </w:t>
      </w:r>
      <w:r>
        <w:rPr>
          <w:rFonts w:eastAsia="Times New Roman"/>
          <w:lang w:val="en-US"/>
        </w:rPr>
        <w:t>Allan-Werle variance plot</w:t>
      </w:r>
      <w:r w:rsidRPr="005C196A">
        <w:rPr>
          <w:rFonts w:eastAsia="Times New Roman"/>
          <w:lang w:val="en-US"/>
        </w:rPr>
        <w:t>.</w:t>
      </w:r>
    </w:p>
    <w:p w14:paraId="3D9F66C1" w14:textId="77777777" w:rsidR="002D166E" w:rsidRDefault="002D166E" w:rsidP="002D166E">
      <w:pPr>
        <w:rPr>
          <w:lang w:val="en-US"/>
        </w:rPr>
      </w:pPr>
      <w:r>
        <w:rPr>
          <w:noProof/>
          <w:lang w:val="en-US"/>
        </w:rPr>
        <w:lastRenderedPageBreak/>
        <w:drawing>
          <wp:inline distT="0" distB="0" distL="0" distR="0" wp14:anchorId="0C720328" wp14:editId="0CEFC2DE">
            <wp:extent cx="5731510" cy="4298950"/>
            <wp:effectExtent l="0" t="0" r="2540" b="6350"/>
            <wp:docPr id="1112200346" name="Picture 2" descr="A graph and diagram of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00346" name="Picture 2" descr="A graph and diagram of a wav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735D7C7" w14:textId="4CE93D61" w:rsidR="002D166E" w:rsidRPr="00C913C2" w:rsidRDefault="002D166E" w:rsidP="002D166E">
      <w:pPr>
        <w:rPr>
          <w:lang w:val="en-US"/>
        </w:rPr>
      </w:pPr>
      <w:r w:rsidRPr="002F2EF8">
        <w:rPr>
          <w:b/>
          <w:bCs/>
          <w:lang w:val="en-US"/>
        </w:rPr>
        <w:t>Figure S</w:t>
      </w:r>
      <w:r w:rsidR="00C4673A">
        <w:rPr>
          <w:b/>
          <w:bCs/>
          <w:lang w:val="en-US"/>
        </w:rPr>
        <w:t>7</w:t>
      </w:r>
      <w:r w:rsidRPr="002F2EF8">
        <w:rPr>
          <w:b/>
          <w:bCs/>
          <w:lang w:val="en-US"/>
        </w:rPr>
        <w:t>. A representative example of the Allan-Werle variance for the NH</w:t>
      </w:r>
      <w:r w:rsidRPr="002F2EF8">
        <w:rPr>
          <w:b/>
          <w:bCs/>
          <w:vertAlign w:val="subscript"/>
          <w:lang w:val="en-US"/>
        </w:rPr>
        <w:t>3</w:t>
      </w:r>
      <w:r w:rsidRPr="002F2EF8">
        <w:rPr>
          <w:b/>
          <w:bCs/>
          <w:lang w:val="en-US"/>
        </w:rPr>
        <w:t xml:space="preserve"> QC-TILDAS during the campaign.</w:t>
      </w:r>
      <w:r>
        <w:rPr>
          <w:b/>
          <w:bCs/>
          <w:lang w:val="en-US"/>
        </w:rPr>
        <w:t xml:space="preserve"> A) </w:t>
      </w:r>
      <w:r>
        <w:rPr>
          <w:lang w:val="en-US"/>
        </w:rPr>
        <w:t>The NH</w:t>
      </w:r>
      <w:r w:rsidRPr="00E42638">
        <w:rPr>
          <w:vertAlign w:val="subscript"/>
          <w:lang w:val="en-US"/>
        </w:rPr>
        <w:t>3</w:t>
      </w:r>
      <w:r>
        <w:rPr>
          <w:lang w:val="en-US"/>
        </w:rPr>
        <w:t xml:space="preserve"> mixing ratio measured during 1-hour of zero</w:t>
      </w:r>
      <w:r w:rsidR="0057755E">
        <w:rPr>
          <w:lang w:val="en-US"/>
        </w:rPr>
        <w:t>-</w:t>
      </w:r>
      <w:r>
        <w:rPr>
          <w:lang w:val="en-US"/>
        </w:rPr>
        <w:t xml:space="preserve">air delivery at 03:00 UTC on January 27, 2023. </w:t>
      </w:r>
      <w:r w:rsidRPr="00581FDF">
        <w:rPr>
          <w:b/>
          <w:bCs/>
          <w:lang w:val="en-US"/>
        </w:rPr>
        <w:t>B)</w:t>
      </w:r>
      <w:r>
        <w:rPr>
          <w:b/>
          <w:bCs/>
          <w:lang w:val="en-US"/>
        </w:rPr>
        <w:t xml:space="preserve"> </w:t>
      </w:r>
      <w:r>
        <w:rPr>
          <w:lang w:val="en-US"/>
        </w:rPr>
        <w:t>The Allan-Werle variance calculated from the measurement data in panel A). In this example, the integration time associated with the minimum Allan-Werle variance is 98 seconds, corresponding to an Allan-Werle variance of 5.6e</w:t>
      </w:r>
      <w:r w:rsidRPr="00F25230">
        <w:rPr>
          <w:vertAlign w:val="superscript"/>
          <w:lang w:val="en-US"/>
        </w:rPr>
        <w:t>-6</w:t>
      </w:r>
      <w:r>
        <w:rPr>
          <w:lang w:val="en-US"/>
        </w:rPr>
        <w:t xml:space="preserve"> and a standard deviation of 2.3 ppt.</w:t>
      </w:r>
    </w:p>
    <w:p w14:paraId="57A3A2B7" w14:textId="77777777" w:rsidR="002D166E" w:rsidRDefault="002D166E" w:rsidP="002D166E">
      <w:pPr>
        <w:spacing w:after="0" w:line="240" w:lineRule="auto"/>
        <w:rPr>
          <w:rFonts w:eastAsia="Times New Roman"/>
          <w:lang w:val="en-US"/>
        </w:rPr>
      </w:pPr>
    </w:p>
    <w:p w14:paraId="3BA633E0" w14:textId="5E56E312" w:rsidR="002D166E" w:rsidRDefault="002D166E" w:rsidP="002D166E">
      <w:pPr>
        <w:spacing w:after="0" w:line="240" w:lineRule="auto"/>
        <w:rPr>
          <w:rFonts w:eastAsia="Times New Roman"/>
          <w:lang w:val="en-US"/>
        </w:rPr>
      </w:pPr>
      <w:r>
        <w:rPr>
          <w:rFonts w:eastAsia="Times New Roman"/>
          <w:lang w:val="en-US"/>
        </w:rPr>
        <w:t>It is also important to consider the measurement accuracy of the reported NH</w:t>
      </w:r>
      <w:r w:rsidRPr="007407CD">
        <w:rPr>
          <w:rFonts w:eastAsia="Times New Roman"/>
          <w:vertAlign w:val="subscript"/>
          <w:lang w:val="en-US"/>
        </w:rPr>
        <w:t>3</w:t>
      </w:r>
      <w:r>
        <w:rPr>
          <w:rFonts w:eastAsia="Times New Roman"/>
          <w:lang w:val="en-US"/>
        </w:rPr>
        <w:t xml:space="preserve"> mixing ratios, which is affected by instrumental temperature drift and backgrounds performed with residual NH</w:t>
      </w:r>
      <w:r w:rsidRPr="00FF107F">
        <w:rPr>
          <w:rFonts w:eastAsia="Times New Roman"/>
          <w:vertAlign w:val="subscript"/>
          <w:lang w:val="en-US"/>
        </w:rPr>
        <w:t>3</w:t>
      </w:r>
      <w:r>
        <w:rPr>
          <w:rFonts w:eastAsia="Times New Roman"/>
          <w:lang w:val="en-US"/>
        </w:rPr>
        <w:t xml:space="preserve"> in the spectra. To characterize these effects on the accuracy of our NH</w:t>
      </w:r>
      <w:r w:rsidRPr="00641F7E">
        <w:rPr>
          <w:rFonts w:eastAsia="Times New Roman"/>
          <w:vertAlign w:val="subscript"/>
          <w:lang w:val="en-US"/>
        </w:rPr>
        <w:t>3</w:t>
      </w:r>
      <w:r>
        <w:rPr>
          <w:rFonts w:eastAsia="Times New Roman"/>
          <w:lang w:val="en-US"/>
        </w:rPr>
        <w:t xml:space="preserve"> measurements, without disentangling the two processes, we evaluated the variation in the reported NH</w:t>
      </w:r>
      <w:r w:rsidRPr="00FF107F">
        <w:rPr>
          <w:rFonts w:eastAsia="Times New Roman"/>
          <w:vertAlign w:val="subscript"/>
          <w:lang w:val="en-US"/>
        </w:rPr>
        <w:t>3</w:t>
      </w:r>
      <w:r>
        <w:rPr>
          <w:rFonts w:eastAsia="Times New Roman"/>
          <w:lang w:val="en-US"/>
        </w:rPr>
        <w:t xml:space="preserve"> mixing ratio during the last 30 seconds of zero-air delivery before the background spectra were taken. The average NH</w:t>
      </w:r>
      <w:r w:rsidRPr="000F45DB">
        <w:rPr>
          <w:rFonts w:eastAsia="Times New Roman"/>
          <w:vertAlign w:val="subscript"/>
          <w:lang w:val="en-US"/>
        </w:rPr>
        <w:t>3</w:t>
      </w:r>
      <w:r>
        <w:rPr>
          <w:rFonts w:eastAsia="Times New Roman"/>
          <w:lang w:val="en-US"/>
        </w:rPr>
        <w:t xml:space="preserve"> mixing ratio during these 30 second periods was 26.8 ppt (STD = 51.6 ppt). In this case, we can generally conclude that the accuracy of our reported NH</w:t>
      </w:r>
      <w:r w:rsidRPr="00A50D98">
        <w:rPr>
          <w:rFonts w:eastAsia="Times New Roman"/>
          <w:vertAlign w:val="subscript"/>
          <w:lang w:val="en-US"/>
        </w:rPr>
        <w:t>3</w:t>
      </w:r>
      <w:r>
        <w:rPr>
          <w:rFonts w:eastAsia="Times New Roman"/>
          <w:lang w:val="en-US"/>
        </w:rPr>
        <w:t xml:space="preserve"> mixing ratios </w:t>
      </w:r>
      <w:r w:rsidR="001C3827">
        <w:rPr>
          <w:rFonts w:eastAsia="Times New Roman"/>
          <w:lang w:val="en-US"/>
        </w:rPr>
        <w:t>is</w:t>
      </w:r>
      <w:r>
        <w:rPr>
          <w:rFonts w:eastAsia="Times New Roman"/>
          <w:lang w:val="en-US"/>
        </w:rPr>
        <w:t xml:space="preserve"> </w:t>
      </w:r>
      <w:r>
        <w:rPr>
          <w:rFonts w:eastAsia="Times New Roman" w:cstheme="minorHAnsi"/>
          <w:lang w:val="en-US"/>
        </w:rPr>
        <w:t>±</w:t>
      </w:r>
      <w:r>
        <w:rPr>
          <w:rFonts w:eastAsia="Times New Roman"/>
          <w:lang w:val="en-US"/>
        </w:rPr>
        <w:t xml:space="preserve"> 26.8 ppt, accounting for both instrumental temperature drift and residual NH</w:t>
      </w:r>
      <w:r w:rsidRPr="00435DE2">
        <w:rPr>
          <w:rFonts w:eastAsia="Times New Roman"/>
          <w:vertAlign w:val="subscript"/>
          <w:lang w:val="en-US"/>
        </w:rPr>
        <w:t>3</w:t>
      </w:r>
      <w:r>
        <w:rPr>
          <w:rFonts w:eastAsia="Times New Roman"/>
          <w:lang w:val="en-US"/>
        </w:rPr>
        <w:t xml:space="preserve"> while performing spectral backgrounds. </w:t>
      </w:r>
    </w:p>
    <w:p w14:paraId="7220F9B4" w14:textId="77777777" w:rsidR="002D166E" w:rsidRDefault="002D166E" w:rsidP="002D166E">
      <w:pPr>
        <w:spacing w:after="0" w:line="240" w:lineRule="auto"/>
        <w:rPr>
          <w:rFonts w:eastAsia="Times New Roman"/>
          <w:lang w:val="en-US"/>
        </w:rPr>
      </w:pPr>
    </w:p>
    <w:p w14:paraId="4BF0B623" w14:textId="4941F678" w:rsidR="002D166E" w:rsidRDefault="002D166E" w:rsidP="002D166E">
      <w:pPr>
        <w:rPr>
          <w:lang w:val="en-US"/>
        </w:rPr>
      </w:pPr>
      <w:r>
        <w:rPr>
          <w:rFonts w:eastAsia="Times New Roman"/>
          <w:lang w:val="en-US"/>
        </w:rPr>
        <w:t>The effect of residual NH</w:t>
      </w:r>
      <w:r w:rsidRPr="00C66F46">
        <w:rPr>
          <w:rFonts w:eastAsia="Times New Roman"/>
          <w:vertAlign w:val="subscript"/>
          <w:lang w:val="en-US"/>
        </w:rPr>
        <w:t>3</w:t>
      </w:r>
      <w:r>
        <w:rPr>
          <w:rFonts w:eastAsia="Times New Roman"/>
          <w:lang w:val="en-US"/>
        </w:rPr>
        <w:t xml:space="preserve"> on the reported mixing ratios while performing spectral backgrounds is dependent on the magnitude of ambient NH</w:t>
      </w:r>
      <w:r w:rsidRPr="008940DA">
        <w:rPr>
          <w:rFonts w:eastAsia="Times New Roman"/>
          <w:vertAlign w:val="subscript"/>
          <w:lang w:val="en-US"/>
        </w:rPr>
        <w:t>3</w:t>
      </w:r>
      <w:r>
        <w:rPr>
          <w:rFonts w:eastAsia="Times New Roman"/>
          <w:lang w:val="en-US"/>
        </w:rPr>
        <w:t xml:space="preserve"> dose; higher ambient doses yield higher residual NH</w:t>
      </w:r>
      <w:r w:rsidRPr="00C61F31">
        <w:rPr>
          <w:rFonts w:eastAsia="Times New Roman"/>
          <w:vertAlign w:val="subscript"/>
          <w:lang w:val="en-US"/>
        </w:rPr>
        <w:t>3</w:t>
      </w:r>
      <w:r>
        <w:rPr>
          <w:rFonts w:eastAsia="Times New Roman"/>
          <w:lang w:val="en-US"/>
        </w:rPr>
        <w:t xml:space="preserve"> in the backgrounds. This is expected, as higher doses of NH</w:t>
      </w:r>
      <w:r w:rsidRPr="00DA2CDE">
        <w:rPr>
          <w:rFonts w:eastAsia="Times New Roman"/>
          <w:vertAlign w:val="subscript"/>
          <w:lang w:val="en-US"/>
        </w:rPr>
        <w:t>3</w:t>
      </w:r>
      <w:r>
        <w:rPr>
          <w:rFonts w:eastAsia="Times New Roman"/>
          <w:lang w:val="en-US"/>
        </w:rPr>
        <w:t xml:space="preserve"> lead to a higher degree of NH</w:t>
      </w:r>
      <w:r w:rsidRPr="00DA2CDE">
        <w:rPr>
          <w:rFonts w:eastAsia="Times New Roman"/>
          <w:vertAlign w:val="subscript"/>
          <w:lang w:val="en-US"/>
        </w:rPr>
        <w:t>3</w:t>
      </w:r>
      <w:r>
        <w:rPr>
          <w:rFonts w:eastAsia="Times New Roman"/>
          <w:lang w:val="en-US"/>
        </w:rPr>
        <w:t xml:space="preserve"> contamination on sampling surfaces. Measurement accuracy is negatively affected by residual NH</w:t>
      </w:r>
      <w:r w:rsidRPr="000C475E">
        <w:rPr>
          <w:rFonts w:eastAsia="Times New Roman"/>
          <w:vertAlign w:val="subscript"/>
          <w:lang w:val="en-US"/>
        </w:rPr>
        <w:t>3</w:t>
      </w:r>
      <w:r>
        <w:rPr>
          <w:rFonts w:eastAsia="Times New Roman"/>
          <w:lang w:val="en-US"/>
        </w:rPr>
        <w:t xml:space="preserve"> in the background spectra after high ambient doses, as </w:t>
      </w:r>
      <w:r w:rsidR="00537392">
        <w:rPr>
          <w:rFonts w:eastAsia="Times New Roman"/>
          <w:lang w:val="en-US"/>
        </w:rPr>
        <w:t>the residual NH</w:t>
      </w:r>
      <w:r w:rsidR="00537392" w:rsidRPr="00537392">
        <w:rPr>
          <w:rFonts w:eastAsia="Times New Roman"/>
          <w:vertAlign w:val="subscript"/>
          <w:lang w:val="en-US"/>
        </w:rPr>
        <w:t>3</w:t>
      </w:r>
      <w:r w:rsidR="00537392">
        <w:rPr>
          <w:rFonts w:eastAsia="Times New Roman"/>
          <w:lang w:val="en-US"/>
        </w:rPr>
        <w:t xml:space="preserve"> </w:t>
      </w:r>
      <w:r>
        <w:rPr>
          <w:rFonts w:eastAsia="Times New Roman"/>
          <w:lang w:val="en-US"/>
        </w:rPr>
        <w:t xml:space="preserve">is then be subtracted from the subsequent ambient measurement data. To account for this, as part of the routine measurement cycle, we collected 40 seconds of </w:t>
      </w:r>
      <w:r>
        <w:rPr>
          <w:lang w:val="en-US"/>
        </w:rPr>
        <w:t>NH</w:t>
      </w:r>
      <w:r w:rsidRPr="005245E7">
        <w:rPr>
          <w:vertAlign w:val="subscript"/>
          <w:lang w:val="en-US"/>
        </w:rPr>
        <w:t>3</w:t>
      </w:r>
      <w:r>
        <w:rPr>
          <w:rFonts w:eastAsia="Times New Roman"/>
          <w:lang w:val="en-US"/>
        </w:rPr>
        <w:t xml:space="preserve"> mixing ratios during zero</w:t>
      </w:r>
      <w:r w:rsidR="0057755E">
        <w:rPr>
          <w:rFonts w:eastAsia="Times New Roman"/>
          <w:lang w:val="en-US"/>
        </w:rPr>
        <w:t>-</w:t>
      </w:r>
      <w:r>
        <w:rPr>
          <w:rFonts w:eastAsia="Times New Roman"/>
          <w:lang w:val="en-US"/>
        </w:rPr>
        <w:t>air delivery after performing a spectral background before switching to ambient sampling. We used the difference between the average NH</w:t>
      </w:r>
      <w:r w:rsidRPr="00F2250C">
        <w:rPr>
          <w:rFonts w:eastAsia="Times New Roman"/>
          <w:vertAlign w:val="subscript"/>
          <w:lang w:val="en-US"/>
        </w:rPr>
        <w:t>3</w:t>
      </w:r>
      <w:r>
        <w:rPr>
          <w:rFonts w:eastAsia="Times New Roman"/>
          <w:lang w:val="en-US"/>
        </w:rPr>
        <w:t xml:space="preserve"> mixing ratios during the 30 seconds before and after the background spectra were </w:t>
      </w:r>
      <w:r>
        <w:rPr>
          <w:rFonts w:eastAsia="Times New Roman"/>
          <w:lang w:val="en-US"/>
        </w:rPr>
        <w:lastRenderedPageBreak/>
        <w:t>collected (on zero</w:t>
      </w:r>
      <w:r w:rsidR="0057755E">
        <w:rPr>
          <w:rFonts w:eastAsia="Times New Roman"/>
          <w:lang w:val="en-US"/>
        </w:rPr>
        <w:t>-</w:t>
      </w:r>
      <w:r>
        <w:rPr>
          <w:rFonts w:eastAsia="Times New Roman"/>
          <w:lang w:val="en-US"/>
        </w:rPr>
        <w:t>air) to determine an offset caused by residual NH</w:t>
      </w:r>
      <w:r w:rsidRPr="00F2250C">
        <w:rPr>
          <w:rFonts w:eastAsia="Times New Roman"/>
          <w:vertAlign w:val="subscript"/>
          <w:lang w:val="en-US"/>
        </w:rPr>
        <w:t>3</w:t>
      </w:r>
      <w:r>
        <w:rPr>
          <w:rFonts w:eastAsia="Times New Roman"/>
          <w:lang w:val="en-US"/>
        </w:rPr>
        <w:t xml:space="preserve"> in the spectra while backgrounding. This offset was then added to the subsequent reported NH</w:t>
      </w:r>
      <w:r w:rsidRPr="00C4240C">
        <w:rPr>
          <w:rFonts w:eastAsia="Times New Roman"/>
          <w:vertAlign w:val="subscript"/>
          <w:lang w:val="en-US"/>
        </w:rPr>
        <w:t>3</w:t>
      </w:r>
      <w:r>
        <w:rPr>
          <w:rFonts w:eastAsia="Times New Roman"/>
          <w:lang w:val="en-US"/>
        </w:rPr>
        <w:t xml:space="preserve"> mixing ratios during ambient sampling to correct for the </w:t>
      </w:r>
      <w:r>
        <w:rPr>
          <w:lang w:val="en-US"/>
        </w:rPr>
        <w:t>NH</w:t>
      </w:r>
      <w:r w:rsidRPr="005245E7">
        <w:rPr>
          <w:vertAlign w:val="subscript"/>
          <w:lang w:val="en-US"/>
        </w:rPr>
        <w:t>3</w:t>
      </w:r>
      <w:r>
        <w:rPr>
          <w:rFonts w:eastAsia="Times New Roman"/>
          <w:lang w:val="en-US"/>
        </w:rPr>
        <w:t xml:space="preserve"> signal that was subtracted during the background. To avoid erroneously applying this correction to ambient NH</w:t>
      </w:r>
      <w:r w:rsidRPr="00C4240C">
        <w:rPr>
          <w:rFonts w:eastAsia="Times New Roman"/>
          <w:vertAlign w:val="subscript"/>
          <w:lang w:val="en-US"/>
        </w:rPr>
        <w:t>3</w:t>
      </w:r>
      <w:r>
        <w:rPr>
          <w:rFonts w:eastAsia="Times New Roman"/>
          <w:lang w:val="en-US"/>
        </w:rPr>
        <w:t xml:space="preserve"> mixing ratios, we only applied the offset correction when the offset exceeded a threshold of 40 ppt. The threshold of 40 ppt was selected as it exceeds the sum of the instrumental LOD and accuracy associated with drift, as described above. Using this criteria, the offset correction was applied to 8% of the total data points, corresponding to an average ambient NH</w:t>
      </w:r>
      <w:r w:rsidRPr="006D55B2">
        <w:rPr>
          <w:rFonts w:eastAsia="Times New Roman"/>
          <w:vertAlign w:val="subscript"/>
          <w:lang w:val="en-US"/>
        </w:rPr>
        <w:t>3</w:t>
      </w:r>
      <w:r>
        <w:rPr>
          <w:rFonts w:eastAsia="Times New Roman"/>
          <w:lang w:val="en-US"/>
        </w:rPr>
        <w:t xml:space="preserve"> dose of 520 ppt (STD = 1400 ppt) and an average offset of 109 ppt (STD = 94.6 ppt), where the magnitude of the offset increases with ambient NH</w:t>
      </w:r>
      <w:r w:rsidRPr="00B91076">
        <w:rPr>
          <w:rFonts w:eastAsia="Times New Roman"/>
          <w:vertAlign w:val="subscript"/>
          <w:lang w:val="en-US"/>
        </w:rPr>
        <w:t>3</w:t>
      </w:r>
      <w:r>
        <w:rPr>
          <w:rFonts w:eastAsia="Times New Roman"/>
          <w:lang w:val="en-US"/>
        </w:rPr>
        <w:t xml:space="preserve"> dose. After applying the offset to periods with high NH</w:t>
      </w:r>
      <w:r w:rsidRPr="0023760F">
        <w:rPr>
          <w:rFonts w:eastAsia="Times New Roman"/>
          <w:vertAlign w:val="subscript"/>
          <w:lang w:val="en-US"/>
        </w:rPr>
        <w:t>3</w:t>
      </w:r>
      <w:r>
        <w:rPr>
          <w:rFonts w:eastAsia="Times New Roman"/>
          <w:lang w:val="en-US"/>
        </w:rPr>
        <w:t xml:space="preserve"> doses, we report the NH</w:t>
      </w:r>
      <w:r w:rsidRPr="005C1F4C">
        <w:rPr>
          <w:rFonts w:eastAsia="Times New Roman"/>
          <w:vertAlign w:val="subscript"/>
          <w:lang w:val="en-US"/>
        </w:rPr>
        <w:t>3</w:t>
      </w:r>
      <w:r>
        <w:rPr>
          <w:rFonts w:eastAsia="Times New Roman"/>
          <w:lang w:val="en-US"/>
        </w:rPr>
        <w:t xml:space="preserve"> LOD to be 10.5 ppt </w:t>
      </w:r>
      <w:r>
        <w:rPr>
          <w:rFonts w:eastAsia="Times New Roman" w:cstheme="minorHAnsi"/>
          <w:lang w:val="en-US"/>
        </w:rPr>
        <w:t>±</w:t>
      </w:r>
      <w:r>
        <w:rPr>
          <w:rFonts w:eastAsia="Times New Roman"/>
          <w:lang w:val="en-US"/>
        </w:rPr>
        <w:t xml:space="preserve"> 26.8 ppt. NH</w:t>
      </w:r>
      <w:r w:rsidRPr="00653C12">
        <w:rPr>
          <w:rFonts w:eastAsia="Times New Roman"/>
          <w:vertAlign w:val="subscript"/>
          <w:lang w:val="en-US"/>
        </w:rPr>
        <w:t>3</w:t>
      </w:r>
      <w:r>
        <w:rPr>
          <w:rFonts w:eastAsia="Times New Roman"/>
          <w:lang w:val="en-US"/>
        </w:rPr>
        <w:t xml:space="preserve"> mixing rations below the detection limit were not included in further analyses.</w:t>
      </w:r>
    </w:p>
    <w:p w14:paraId="43915C8C" w14:textId="77777777" w:rsidR="009F495E" w:rsidRDefault="009F495E" w:rsidP="00830361">
      <w:pPr>
        <w:rPr>
          <w:lang w:val="en-US"/>
        </w:rPr>
      </w:pPr>
    </w:p>
    <w:p w14:paraId="7BAC7F14" w14:textId="3B05BD46" w:rsidR="009F495E" w:rsidRDefault="009F495E" w:rsidP="00830361">
      <w:pPr>
        <w:rPr>
          <w:b/>
          <w:bCs/>
          <w:lang w:val="en-US"/>
        </w:rPr>
      </w:pPr>
      <w:r w:rsidRPr="009F495E">
        <w:rPr>
          <w:b/>
          <w:bCs/>
          <w:lang w:val="en-US"/>
        </w:rPr>
        <w:t>References</w:t>
      </w:r>
    </w:p>
    <w:p w14:paraId="4F8E92B0" w14:textId="77777777" w:rsidR="008A7D97" w:rsidRPr="008A7D97" w:rsidRDefault="009F495E" w:rsidP="008A7D97">
      <w:pPr>
        <w:pStyle w:val="Bibliography"/>
        <w:rPr>
          <w:rFonts w:ascii="Calibri" w:hAnsi="Calibri" w:cs="Calibri"/>
          <w:lang w:val="en-US"/>
        </w:rPr>
      </w:pPr>
      <w:r>
        <w:rPr>
          <w:lang w:val="en-US"/>
        </w:rPr>
        <w:fldChar w:fldCharType="begin"/>
      </w:r>
      <w:r w:rsidRPr="00C37440">
        <w:rPr>
          <w:lang w:val="en-US"/>
        </w:rPr>
        <w:instrText xml:space="preserve"> ADDIN ZOTERO_BIBL {"uncited":[],"omitted":[],"custom":[]} CSL_BIBLIOGRAPHY </w:instrText>
      </w:r>
      <w:r>
        <w:rPr>
          <w:lang w:val="en-US"/>
        </w:rPr>
        <w:fldChar w:fldCharType="separate"/>
      </w:r>
      <w:r w:rsidR="008A7D97" w:rsidRPr="00C37440">
        <w:rPr>
          <w:rFonts w:ascii="Calibri" w:hAnsi="Calibri" w:cs="Calibri"/>
          <w:lang w:val="en-US"/>
        </w:rPr>
        <w:t>1.</w:t>
      </w:r>
      <w:r w:rsidR="008A7D97" w:rsidRPr="00C37440">
        <w:rPr>
          <w:rFonts w:ascii="Calibri" w:hAnsi="Calibri" w:cs="Calibri"/>
          <w:lang w:val="en-US"/>
        </w:rPr>
        <w:tab/>
        <w:t xml:space="preserve">Ellis, R. A. </w:t>
      </w:r>
      <w:r w:rsidR="008A7D97" w:rsidRPr="00C37440">
        <w:rPr>
          <w:rFonts w:ascii="Calibri" w:hAnsi="Calibri" w:cs="Calibri"/>
          <w:i/>
          <w:iCs/>
          <w:lang w:val="en-US"/>
        </w:rPr>
        <w:t>et al.</w:t>
      </w:r>
      <w:r w:rsidR="008A7D97" w:rsidRPr="00C37440">
        <w:rPr>
          <w:rFonts w:ascii="Calibri" w:hAnsi="Calibri" w:cs="Calibri"/>
          <w:lang w:val="en-US"/>
        </w:rPr>
        <w:t xml:space="preserve"> </w:t>
      </w:r>
      <w:r w:rsidR="008A7D97" w:rsidRPr="008A7D97">
        <w:rPr>
          <w:rFonts w:ascii="Calibri" w:hAnsi="Calibri" w:cs="Calibri"/>
          <w:lang w:val="en-US"/>
        </w:rPr>
        <w:t xml:space="preserve">Characterizing a Quantum Cascade Tunable Infrared Laser Differential Absorption Spectrometer (QC-TILDAS) for measurements of atmospheric ammonia. </w:t>
      </w:r>
      <w:r w:rsidR="008A7D97" w:rsidRPr="008A7D97">
        <w:rPr>
          <w:rFonts w:ascii="Calibri" w:hAnsi="Calibri" w:cs="Calibri"/>
          <w:i/>
          <w:iCs/>
          <w:lang w:val="en-US"/>
        </w:rPr>
        <w:t>Atmospheric Meas. Tech.</w:t>
      </w:r>
      <w:r w:rsidR="008A7D97" w:rsidRPr="008A7D97">
        <w:rPr>
          <w:rFonts w:ascii="Calibri" w:hAnsi="Calibri" w:cs="Calibri"/>
          <w:lang w:val="en-US"/>
        </w:rPr>
        <w:t xml:space="preserve"> </w:t>
      </w:r>
      <w:r w:rsidR="008A7D97" w:rsidRPr="008A7D97">
        <w:rPr>
          <w:rFonts w:ascii="Calibri" w:hAnsi="Calibri" w:cs="Calibri"/>
          <w:b/>
          <w:bCs/>
          <w:lang w:val="en-US"/>
        </w:rPr>
        <w:t>3</w:t>
      </w:r>
      <w:r w:rsidR="008A7D97" w:rsidRPr="008A7D97">
        <w:rPr>
          <w:rFonts w:ascii="Calibri" w:hAnsi="Calibri" w:cs="Calibri"/>
          <w:lang w:val="en-US"/>
        </w:rPr>
        <w:t>, 397–406 (2010).</w:t>
      </w:r>
    </w:p>
    <w:p w14:paraId="2B9E565C"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2.</w:t>
      </w:r>
      <w:r w:rsidRPr="008A7D97">
        <w:rPr>
          <w:rFonts w:ascii="Calibri" w:hAnsi="Calibri" w:cs="Calibri"/>
          <w:lang w:val="en-US"/>
        </w:rPr>
        <w:tab/>
        <w:t xml:space="preserve">Moravek, A., Singh, S., Pattey, E., Pelletier, L. &amp; Murphy, J. G. Measurements and quality control of ammonia eddy covariance fluxes: a new strategy for high-frequency attenuation correction. </w:t>
      </w:r>
      <w:r w:rsidRPr="008A7D97">
        <w:rPr>
          <w:rFonts w:ascii="Calibri" w:hAnsi="Calibri" w:cs="Calibri"/>
          <w:i/>
          <w:iCs/>
          <w:lang w:val="en-US"/>
        </w:rPr>
        <w:t>Atmospheric Meas. Tech.</w:t>
      </w:r>
      <w:r w:rsidRPr="008A7D97">
        <w:rPr>
          <w:rFonts w:ascii="Calibri" w:hAnsi="Calibri" w:cs="Calibri"/>
          <w:lang w:val="en-US"/>
        </w:rPr>
        <w:t xml:space="preserve"> </w:t>
      </w:r>
      <w:r w:rsidRPr="008A7D97">
        <w:rPr>
          <w:rFonts w:ascii="Calibri" w:hAnsi="Calibri" w:cs="Calibri"/>
          <w:b/>
          <w:bCs/>
          <w:lang w:val="en-US"/>
        </w:rPr>
        <w:t>12</w:t>
      </w:r>
      <w:r w:rsidRPr="008A7D97">
        <w:rPr>
          <w:rFonts w:ascii="Calibri" w:hAnsi="Calibri" w:cs="Calibri"/>
          <w:lang w:val="en-US"/>
        </w:rPr>
        <w:t>, 6059–6078 (2019).</w:t>
      </w:r>
    </w:p>
    <w:p w14:paraId="7463DAE4"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3.</w:t>
      </w:r>
      <w:r w:rsidRPr="008A7D97">
        <w:rPr>
          <w:rFonts w:ascii="Calibri" w:hAnsi="Calibri" w:cs="Calibri"/>
          <w:lang w:val="en-US"/>
        </w:rPr>
        <w:tab/>
        <w:t xml:space="preserve">Nelson, D. D., McManus, B., Urbanski, S., Herndon, S. &amp; Zahniser, M. S. High precision measurements of atmospheric nitrous oxide and methane using thermoelectrically cooled mid-infrared quantum cascade lasers and detectors. </w:t>
      </w:r>
      <w:r w:rsidRPr="008A7D97">
        <w:rPr>
          <w:rFonts w:ascii="Calibri" w:hAnsi="Calibri" w:cs="Calibri"/>
          <w:i/>
          <w:iCs/>
          <w:lang w:val="en-US"/>
        </w:rPr>
        <w:t>Spectrochim. Acta. A. Mol. Biomol. Spectrosc.</w:t>
      </w:r>
      <w:r w:rsidRPr="008A7D97">
        <w:rPr>
          <w:rFonts w:ascii="Calibri" w:hAnsi="Calibri" w:cs="Calibri"/>
          <w:lang w:val="en-US"/>
        </w:rPr>
        <w:t xml:space="preserve"> </w:t>
      </w:r>
      <w:r w:rsidRPr="008A7D97">
        <w:rPr>
          <w:rFonts w:ascii="Calibri" w:hAnsi="Calibri" w:cs="Calibri"/>
          <w:b/>
          <w:bCs/>
          <w:lang w:val="en-US"/>
        </w:rPr>
        <w:t>60</w:t>
      </w:r>
      <w:r w:rsidRPr="008A7D97">
        <w:rPr>
          <w:rFonts w:ascii="Calibri" w:hAnsi="Calibri" w:cs="Calibri"/>
          <w:lang w:val="en-US"/>
        </w:rPr>
        <w:t>, 3325–3335 (2004).</w:t>
      </w:r>
    </w:p>
    <w:p w14:paraId="35D14401"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4.</w:t>
      </w:r>
      <w:r w:rsidRPr="008A7D97">
        <w:rPr>
          <w:rFonts w:ascii="Calibri" w:hAnsi="Calibri" w:cs="Calibri"/>
          <w:lang w:val="en-US"/>
        </w:rPr>
        <w:tab/>
        <w:t xml:space="preserve">McManus, J. B. </w:t>
      </w:r>
      <w:r w:rsidRPr="008A7D97">
        <w:rPr>
          <w:rFonts w:ascii="Calibri" w:hAnsi="Calibri" w:cs="Calibri"/>
          <w:i/>
          <w:iCs/>
          <w:lang w:val="en-US"/>
        </w:rPr>
        <w:t>et al.</w:t>
      </w:r>
      <w:r w:rsidRPr="008A7D97">
        <w:rPr>
          <w:rFonts w:ascii="Calibri" w:hAnsi="Calibri" w:cs="Calibri"/>
          <w:lang w:val="en-US"/>
        </w:rPr>
        <w:t xml:space="preserve"> Pulsed quantum cascade laser instrument with compact design for rapid, high sensitivity measurements of trace gases in air. </w:t>
      </w:r>
      <w:r w:rsidRPr="008A7D97">
        <w:rPr>
          <w:rFonts w:ascii="Calibri" w:hAnsi="Calibri" w:cs="Calibri"/>
          <w:i/>
          <w:iCs/>
          <w:lang w:val="en-US"/>
        </w:rPr>
        <w:t>Appl. Phys. B</w:t>
      </w:r>
      <w:r w:rsidRPr="008A7D97">
        <w:rPr>
          <w:rFonts w:ascii="Calibri" w:hAnsi="Calibri" w:cs="Calibri"/>
          <w:lang w:val="en-US"/>
        </w:rPr>
        <w:t xml:space="preserve"> </w:t>
      </w:r>
      <w:r w:rsidRPr="008A7D97">
        <w:rPr>
          <w:rFonts w:ascii="Calibri" w:hAnsi="Calibri" w:cs="Calibri"/>
          <w:b/>
          <w:bCs/>
          <w:lang w:val="en-US"/>
        </w:rPr>
        <w:t>92</w:t>
      </w:r>
      <w:r w:rsidRPr="008A7D97">
        <w:rPr>
          <w:rFonts w:ascii="Calibri" w:hAnsi="Calibri" w:cs="Calibri"/>
          <w:lang w:val="en-US"/>
        </w:rPr>
        <w:t>, 387–392 (2008).</w:t>
      </w:r>
    </w:p>
    <w:p w14:paraId="382AB8D9"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5.</w:t>
      </w:r>
      <w:r w:rsidRPr="008A7D97">
        <w:rPr>
          <w:rFonts w:ascii="Calibri" w:hAnsi="Calibri" w:cs="Calibri"/>
          <w:lang w:val="en-US"/>
        </w:rPr>
        <w:tab/>
        <w:t xml:space="preserve">Roscioli, J. R., Zahniser, M. S., Nelson, D. D., Herndon, S. C. &amp; Kolb, C. E. New Approaches to Measuring Sticky Molecules: Improvement of Instrumental Response Times Using Active Passivation. </w:t>
      </w:r>
      <w:r w:rsidRPr="008A7D97">
        <w:rPr>
          <w:rFonts w:ascii="Calibri" w:hAnsi="Calibri" w:cs="Calibri"/>
          <w:i/>
          <w:iCs/>
          <w:lang w:val="en-US"/>
        </w:rPr>
        <w:t>J. Phys. Chem. A</w:t>
      </w:r>
      <w:r w:rsidRPr="008A7D97">
        <w:rPr>
          <w:rFonts w:ascii="Calibri" w:hAnsi="Calibri" w:cs="Calibri"/>
          <w:lang w:val="en-US"/>
        </w:rPr>
        <w:t xml:space="preserve"> </w:t>
      </w:r>
      <w:r w:rsidRPr="008A7D97">
        <w:rPr>
          <w:rFonts w:ascii="Calibri" w:hAnsi="Calibri" w:cs="Calibri"/>
          <w:b/>
          <w:bCs/>
          <w:lang w:val="en-US"/>
        </w:rPr>
        <w:t>120</w:t>
      </w:r>
      <w:r w:rsidRPr="008A7D97">
        <w:rPr>
          <w:rFonts w:ascii="Calibri" w:hAnsi="Calibri" w:cs="Calibri"/>
          <w:lang w:val="en-US"/>
        </w:rPr>
        <w:t>, 1347–1357 (2016).</w:t>
      </w:r>
    </w:p>
    <w:p w14:paraId="5A02388B"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6.</w:t>
      </w:r>
      <w:r w:rsidRPr="008A7D97">
        <w:rPr>
          <w:rFonts w:ascii="Calibri" w:hAnsi="Calibri" w:cs="Calibri"/>
          <w:lang w:val="en-US"/>
        </w:rPr>
        <w:tab/>
        <w:t xml:space="preserve">Pollack, I. B. </w:t>
      </w:r>
      <w:r w:rsidRPr="008A7D97">
        <w:rPr>
          <w:rFonts w:ascii="Calibri" w:hAnsi="Calibri" w:cs="Calibri"/>
          <w:i/>
          <w:iCs/>
          <w:lang w:val="en-US"/>
        </w:rPr>
        <w:t>et al.</w:t>
      </w:r>
      <w:r w:rsidRPr="008A7D97">
        <w:rPr>
          <w:rFonts w:ascii="Calibri" w:hAnsi="Calibri" w:cs="Calibri"/>
          <w:lang w:val="en-US"/>
        </w:rPr>
        <w:t xml:space="preserve"> Evaluation of ambient ammonia measurements from a research aircraft using a closed-path QC-TILDAS operated with active continuous passivation. </w:t>
      </w:r>
      <w:r w:rsidRPr="008A7D97">
        <w:rPr>
          <w:rFonts w:ascii="Calibri" w:hAnsi="Calibri" w:cs="Calibri"/>
          <w:i/>
          <w:iCs/>
          <w:lang w:val="en-US"/>
        </w:rPr>
        <w:t>Atmospheric Meas. Tech.</w:t>
      </w:r>
      <w:r w:rsidRPr="008A7D97">
        <w:rPr>
          <w:rFonts w:ascii="Calibri" w:hAnsi="Calibri" w:cs="Calibri"/>
          <w:lang w:val="en-US"/>
        </w:rPr>
        <w:t xml:space="preserve"> </w:t>
      </w:r>
      <w:r w:rsidRPr="008A7D97">
        <w:rPr>
          <w:rFonts w:ascii="Calibri" w:hAnsi="Calibri" w:cs="Calibri"/>
          <w:b/>
          <w:bCs/>
          <w:lang w:val="en-US"/>
        </w:rPr>
        <w:t>12</w:t>
      </w:r>
      <w:r w:rsidRPr="008A7D97">
        <w:rPr>
          <w:rFonts w:ascii="Calibri" w:hAnsi="Calibri" w:cs="Calibri"/>
          <w:lang w:val="en-US"/>
        </w:rPr>
        <w:t>, 3717–3742 (2019).</w:t>
      </w:r>
    </w:p>
    <w:p w14:paraId="224012ED"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lastRenderedPageBreak/>
        <w:t>7.</w:t>
      </w:r>
      <w:r w:rsidRPr="008A7D97">
        <w:rPr>
          <w:rFonts w:ascii="Calibri" w:hAnsi="Calibri" w:cs="Calibri"/>
          <w:lang w:val="en-US"/>
        </w:rPr>
        <w:tab/>
        <w:t xml:space="preserve">Halfacre, J. W. </w:t>
      </w:r>
      <w:r w:rsidRPr="008A7D97">
        <w:rPr>
          <w:rFonts w:ascii="Calibri" w:hAnsi="Calibri" w:cs="Calibri"/>
          <w:i/>
          <w:iCs/>
          <w:lang w:val="en-US"/>
        </w:rPr>
        <w:t>et al.</w:t>
      </w:r>
      <w:r w:rsidRPr="008A7D97">
        <w:rPr>
          <w:rFonts w:ascii="Calibri" w:hAnsi="Calibri" w:cs="Calibri"/>
          <w:lang w:val="en-US"/>
        </w:rPr>
        <w:t xml:space="preserve"> Using tunable infrared laser direct absorption spectroscopy for ambient hydrogen chloride detection: HCl-TILDAS. </w:t>
      </w:r>
      <w:r w:rsidRPr="008A7D97">
        <w:rPr>
          <w:rFonts w:ascii="Calibri" w:hAnsi="Calibri" w:cs="Calibri"/>
          <w:i/>
          <w:iCs/>
          <w:lang w:val="en-US"/>
        </w:rPr>
        <w:t>Atmospheric Meas. Tech.</w:t>
      </w:r>
      <w:r w:rsidRPr="008A7D97">
        <w:rPr>
          <w:rFonts w:ascii="Calibri" w:hAnsi="Calibri" w:cs="Calibri"/>
          <w:lang w:val="en-US"/>
        </w:rPr>
        <w:t xml:space="preserve"> </w:t>
      </w:r>
      <w:r w:rsidRPr="008A7D97">
        <w:rPr>
          <w:rFonts w:ascii="Calibri" w:hAnsi="Calibri" w:cs="Calibri"/>
          <w:b/>
          <w:bCs/>
          <w:lang w:val="en-US"/>
        </w:rPr>
        <w:t>16</w:t>
      </w:r>
      <w:r w:rsidRPr="008A7D97">
        <w:rPr>
          <w:rFonts w:ascii="Calibri" w:hAnsi="Calibri" w:cs="Calibri"/>
          <w:lang w:val="en-US"/>
        </w:rPr>
        <w:t>, 1407–1429 (2023).</w:t>
      </w:r>
    </w:p>
    <w:p w14:paraId="0F22CD31"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8.</w:t>
      </w:r>
      <w:r w:rsidRPr="008A7D97">
        <w:rPr>
          <w:rFonts w:ascii="Calibri" w:hAnsi="Calibri" w:cs="Calibri"/>
          <w:lang w:val="en-US"/>
        </w:rPr>
        <w:tab/>
        <w:t xml:space="preserve">Werle, P., Mücke, R. &amp; Slemr, F. The limits of signal averaging in atmospheric trace-gas monitoring by tunable diode-laser absorption spectroscopy (TDLAS). </w:t>
      </w:r>
      <w:r w:rsidRPr="008A7D97">
        <w:rPr>
          <w:rFonts w:ascii="Calibri" w:hAnsi="Calibri" w:cs="Calibri"/>
          <w:i/>
          <w:iCs/>
          <w:lang w:val="en-US"/>
        </w:rPr>
        <w:t>Appl. Phys. B</w:t>
      </w:r>
      <w:r w:rsidRPr="008A7D97">
        <w:rPr>
          <w:rFonts w:ascii="Calibri" w:hAnsi="Calibri" w:cs="Calibri"/>
          <w:lang w:val="en-US"/>
        </w:rPr>
        <w:t xml:space="preserve"> </w:t>
      </w:r>
      <w:r w:rsidRPr="008A7D97">
        <w:rPr>
          <w:rFonts w:ascii="Calibri" w:hAnsi="Calibri" w:cs="Calibri"/>
          <w:b/>
          <w:bCs/>
          <w:lang w:val="en-US"/>
        </w:rPr>
        <w:t>57</w:t>
      </w:r>
      <w:r w:rsidRPr="008A7D97">
        <w:rPr>
          <w:rFonts w:ascii="Calibri" w:hAnsi="Calibri" w:cs="Calibri"/>
          <w:lang w:val="en-US"/>
        </w:rPr>
        <w:t>, 131–139 (1993).</w:t>
      </w:r>
    </w:p>
    <w:p w14:paraId="45268207"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9.</w:t>
      </w:r>
      <w:r w:rsidRPr="008A7D97">
        <w:rPr>
          <w:rFonts w:ascii="Calibri" w:hAnsi="Calibri" w:cs="Calibri"/>
          <w:lang w:val="en-US"/>
        </w:rPr>
        <w:tab/>
        <w:t xml:space="preserve">Moravek, A. </w:t>
      </w:r>
      <w:r w:rsidRPr="008A7D97">
        <w:rPr>
          <w:rFonts w:ascii="Calibri" w:hAnsi="Calibri" w:cs="Calibri"/>
          <w:i/>
          <w:iCs/>
          <w:lang w:val="en-US"/>
        </w:rPr>
        <w:t>et al.</w:t>
      </w:r>
      <w:r w:rsidRPr="008A7D97">
        <w:rPr>
          <w:rFonts w:ascii="Calibri" w:hAnsi="Calibri" w:cs="Calibri"/>
          <w:lang w:val="en-US"/>
        </w:rPr>
        <w:t xml:space="preserve"> Wintertime spatial distribution of ammonia and its emission sources in the Great Salt Lake region. </w:t>
      </w:r>
      <w:r w:rsidRPr="008A7D97">
        <w:rPr>
          <w:rFonts w:ascii="Calibri" w:hAnsi="Calibri" w:cs="Calibri"/>
          <w:i/>
          <w:iCs/>
          <w:lang w:val="en-US"/>
        </w:rPr>
        <w:t>Atmospheric Chem. Phys.</w:t>
      </w:r>
      <w:r w:rsidRPr="008A7D97">
        <w:rPr>
          <w:rFonts w:ascii="Calibri" w:hAnsi="Calibri" w:cs="Calibri"/>
          <w:lang w:val="en-US"/>
        </w:rPr>
        <w:t xml:space="preserve"> </w:t>
      </w:r>
      <w:r w:rsidRPr="008A7D97">
        <w:rPr>
          <w:rFonts w:ascii="Calibri" w:hAnsi="Calibri" w:cs="Calibri"/>
          <w:b/>
          <w:bCs/>
          <w:lang w:val="en-US"/>
        </w:rPr>
        <w:t>19</w:t>
      </w:r>
      <w:r w:rsidRPr="008A7D97">
        <w:rPr>
          <w:rFonts w:ascii="Calibri" w:hAnsi="Calibri" w:cs="Calibri"/>
          <w:lang w:val="en-US"/>
        </w:rPr>
        <w:t>, 15691–15709 (2019).</w:t>
      </w:r>
    </w:p>
    <w:p w14:paraId="71572D58"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10.</w:t>
      </w:r>
      <w:r w:rsidRPr="008A7D97">
        <w:rPr>
          <w:rFonts w:ascii="Calibri" w:hAnsi="Calibri" w:cs="Calibri"/>
          <w:lang w:val="en-US"/>
        </w:rPr>
        <w:tab/>
        <w:t xml:space="preserve">Kecorius, S. </w:t>
      </w:r>
      <w:r w:rsidRPr="008A7D97">
        <w:rPr>
          <w:rFonts w:ascii="Calibri" w:hAnsi="Calibri" w:cs="Calibri"/>
          <w:i/>
          <w:iCs/>
          <w:lang w:val="en-US"/>
        </w:rPr>
        <w:t>et al.</w:t>
      </w:r>
      <w:r w:rsidRPr="008A7D97">
        <w:rPr>
          <w:rFonts w:ascii="Calibri" w:hAnsi="Calibri" w:cs="Calibri"/>
          <w:lang w:val="en-US"/>
        </w:rPr>
        <w:t xml:space="preserve"> Rapid growth of Aitken-mode particles during Arctic summer by fog chemical processing and its implication. </w:t>
      </w:r>
      <w:r w:rsidRPr="008A7D97">
        <w:rPr>
          <w:rFonts w:ascii="Calibri" w:hAnsi="Calibri" w:cs="Calibri"/>
          <w:i/>
          <w:iCs/>
          <w:lang w:val="en-US"/>
        </w:rPr>
        <w:t>PNAS Nexus</w:t>
      </w:r>
      <w:r w:rsidRPr="008A7D97">
        <w:rPr>
          <w:rFonts w:ascii="Calibri" w:hAnsi="Calibri" w:cs="Calibri"/>
          <w:lang w:val="en-US"/>
        </w:rPr>
        <w:t xml:space="preserve"> </w:t>
      </w:r>
      <w:r w:rsidRPr="008A7D97">
        <w:rPr>
          <w:rFonts w:ascii="Calibri" w:hAnsi="Calibri" w:cs="Calibri"/>
          <w:b/>
          <w:bCs/>
          <w:lang w:val="en-US"/>
        </w:rPr>
        <w:t>2</w:t>
      </w:r>
      <w:r w:rsidRPr="008A7D97">
        <w:rPr>
          <w:rFonts w:ascii="Calibri" w:hAnsi="Calibri" w:cs="Calibri"/>
          <w:lang w:val="en-US"/>
        </w:rPr>
        <w:t>, pgad124 (2023).</w:t>
      </w:r>
    </w:p>
    <w:p w14:paraId="38736AE7"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11.</w:t>
      </w:r>
      <w:r w:rsidRPr="008A7D97">
        <w:rPr>
          <w:rFonts w:ascii="Calibri" w:hAnsi="Calibri" w:cs="Calibri"/>
          <w:lang w:val="en-US"/>
        </w:rPr>
        <w:tab/>
        <w:t xml:space="preserve">Asmi, E. </w:t>
      </w:r>
      <w:r w:rsidRPr="008A7D97">
        <w:rPr>
          <w:rFonts w:ascii="Calibri" w:hAnsi="Calibri" w:cs="Calibri"/>
          <w:i/>
          <w:iCs/>
          <w:lang w:val="en-US"/>
        </w:rPr>
        <w:t>et al.</w:t>
      </w:r>
      <w:r w:rsidRPr="008A7D97">
        <w:rPr>
          <w:rFonts w:ascii="Calibri" w:hAnsi="Calibri" w:cs="Calibri"/>
          <w:lang w:val="en-US"/>
        </w:rPr>
        <w:t xml:space="preserve"> Primary sources control the variability of aerosol optical properties in the Antarctic Peninsula. </w:t>
      </w:r>
      <w:r w:rsidRPr="008A7D97">
        <w:rPr>
          <w:rFonts w:ascii="Calibri" w:hAnsi="Calibri" w:cs="Calibri"/>
          <w:i/>
          <w:iCs/>
          <w:lang w:val="en-US"/>
        </w:rPr>
        <w:t>Tellus B Chem. Phys. Meteorol.</w:t>
      </w:r>
      <w:r w:rsidRPr="008A7D97">
        <w:rPr>
          <w:rFonts w:ascii="Calibri" w:hAnsi="Calibri" w:cs="Calibri"/>
          <w:lang w:val="en-US"/>
        </w:rPr>
        <w:t xml:space="preserve"> </w:t>
      </w:r>
      <w:r w:rsidRPr="008A7D97">
        <w:rPr>
          <w:rFonts w:ascii="Calibri" w:hAnsi="Calibri" w:cs="Calibri"/>
          <w:b/>
          <w:bCs/>
          <w:lang w:val="en-US"/>
        </w:rPr>
        <w:t>70</w:t>
      </w:r>
      <w:r w:rsidRPr="008A7D97">
        <w:rPr>
          <w:rFonts w:ascii="Calibri" w:hAnsi="Calibri" w:cs="Calibri"/>
          <w:lang w:val="en-US"/>
        </w:rPr>
        <w:t>, 1414571 (2018).</w:t>
      </w:r>
    </w:p>
    <w:p w14:paraId="3ED8E2FB"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12.</w:t>
      </w:r>
      <w:r w:rsidRPr="008A7D97">
        <w:rPr>
          <w:rFonts w:ascii="Calibri" w:hAnsi="Calibri" w:cs="Calibri"/>
          <w:lang w:val="en-US"/>
        </w:rPr>
        <w:tab/>
        <w:t xml:space="preserve">Karlsson, L., Krejci, R., Koike, M., Ebell, K. &amp; Zieger, P. A long-term study of cloud residuals from low-level Arctic clouds. </w:t>
      </w:r>
      <w:r w:rsidRPr="008A7D97">
        <w:rPr>
          <w:rFonts w:ascii="Calibri" w:hAnsi="Calibri" w:cs="Calibri"/>
          <w:i/>
          <w:iCs/>
          <w:lang w:val="en-US"/>
        </w:rPr>
        <w:t>Atmospheric Chem. Phys.</w:t>
      </w:r>
      <w:r w:rsidRPr="008A7D97">
        <w:rPr>
          <w:rFonts w:ascii="Calibri" w:hAnsi="Calibri" w:cs="Calibri"/>
          <w:lang w:val="en-US"/>
        </w:rPr>
        <w:t xml:space="preserve"> </w:t>
      </w:r>
      <w:r w:rsidRPr="008A7D97">
        <w:rPr>
          <w:rFonts w:ascii="Calibri" w:hAnsi="Calibri" w:cs="Calibri"/>
          <w:b/>
          <w:bCs/>
          <w:lang w:val="en-US"/>
        </w:rPr>
        <w:t>21</w:t>
      </w:r>
      <w:r w:rsidRPr="008A7D97">
        <w:rPr>
          <w:rFonts w:ascii="Calibri" w:hAnsi="Calibri" w:cs="Calibri"/>
          <w:lang w:val="en-US"/>
        </w:rPr>
        <w:t>, 8933–8959 (2021).</w:t>
      </w:r>
    </w:p>
    <w:p w14:paraId="21888077" w14:textId="77777777" w:rsidR="008A7D97" w:rsidRPr="008A7D97" w:rsidRDefault="008A7D97" w:rsidP="008A7D97">
      <w:pPr>
        <w:pStyle w:val="Bibliography"/>
        <w:rPr>
          <w:rFonts w:ascii="Calibri" w:hAnsi="Calibri" w:cs="Calibri"/>
          <w:lang w:val="en-US"/>
        </w:rPr>
      </w:pPr>
      <w:r w:rsidRPr="008A7D97">
        <w:rPr>
          <w:rFonts w:ascii="Calibri" w:hAnsi="Calibri" w:cs="Calibri"/>
          <w:lang w:val="en-US"/>
        </w:rPr>
        <w:t>13.</w:t>
      </w:r>
      <w:r w:rsidRPr="008A7D97">
        <w:rPr>
          <w:rFonts w:ascii="Calibri" w:hAnsi="Calibri" w:cs="Calibri"/>
          <w:lang w:val="en-US"/>
        </w:rPr>
        <w:tab/>
        <w:t xml:space="preserve">Baccarini, A. </w:t>
      </w:r>
      <w:r w:rsidRPr="008A7D97">
        <w:rPr>
          <w:rFonts w:ascii="Calibri" w:hAnsi="Calibri" w:cs="Calibri"/>
          <w:i/>
          <w:iCs/>
          <w:lang w:val="en-US"/>
        </w:rPr>
        <w:t>et al.</w:t>
      </w:r>
      <w:r w:rsidRPr="008A7D97">
        <w:rPr>
          <w:rFonts w:ascii="Calibri" w:hAnsi="Calibri" w:cs="Calibri"/>
          <w:lang w:val="en-US"/>
        </w:rPr>
        <w:t xml:space="preserve"> Frequent new particle formation over the high Arctic pack ice by enhanced iodine emissions. </w:t>
      </w:r>
      <w:r w:rsidRPr="008A7D97">
        <w:rPr>
          <w:rFonts w:ascii="Calibri" w:hAnsi="Calibri" w:cs="Calibri"/>
          <w:i/>
          <w:iCs/>
          <w:lang w:val="en-US"/>
        </w:rPr>
        <w:t>Nat. Commun.</w:t>
      </w:r>
      <w:r w:rsidRPr="008A7D97">
        <w:rPr>
          <w:rFonts w:ascii="Calibri" w:hAnsi="Calibri" w:cs="Calibri"/>
          <w:lang w:val="en-US"/>
        </w:rPr>
        <w:t xml:space="preserve"> </w:t>
      </w:r>
      <w:r w:rsidRPr="008A7D97">
        <w:rPr>
          <w:rFonts w:ascii="Calibri" w:hAnsi="Calibri" w:cs="Calibri"/>
          <w:b/>
          <w:bCs/>
          <w:lang w:val="en-US"/>
        </w:rPr>
        <w:t>11</w:t>
      </w:r>
      <w:r w:rsidRPr="008A7D97">
        <w:rPr>
          <w:rFonts w:ascii="Calibri" w:hAnsi="Calibri" w:cs="Calibri"/>
          <w:lang w:val="en-US"/>
        </w:rPr>
        <w:t>, (2020).</w:t>
      </w:r>
    </w:p>
    <w:p w14:paraId="0CB52170" w14:textId="77777777" w:rsidR="008A7D97" w:rsidRPr="008A7D97" w:rsidRDefault="008A7D97" w:rsidP="008A7D97">
      <w:pPr>
        <w:pStyle w:val="Bibliography"/>
        <w:rPr>
          <w:rFonts w:ascii="Calibri" w:hAnsi="Calibri" w:cs="Calibri"/>
        </w:rPr>
      </w:pPr>
      <w:r w:rsidRPr="008A7D97">
        <w:rPr>
          <w:rFonts w:ascii="Calibri" w:hAnsi="Calibri" w:cs="Calibri"/>
          <w:lang w:val="en-US"/>
        </w:rPr>
        <w:t>14.</w:t>
      </w:r>
      <w:r w:rsidRPr="008A7D97">
        <w:rPr>
          <w:rFonts w:ascii="Calibri" w:hAnsi="Calibri" w:cs="Calibri"/>
          <w:lang w:val="en-US"/>
        </w:rPr>
        <w:tab/>
        <w:t xml:space="preserve">He, X.-C. </w:t>
      </w:r>
      <w:r w:rsidRPr="008A7D97">
        <w:rPr>
          <w:rFonts w:ascii="Calibri" w:hAnsi="Calibri" w:cs="Calibri"/>
          <w:i/>
          <w:iCs/>
          <w:lang w:val="en-US"/>
        </w:rPr>
        <w:t>et al.</w:t>
      </w:r>
      <w:r w:rsidRPr="008A7D97">
        <w:rPr>
          <w:rFonts w:ascii="Calibri" w:hAnsi="Calibri" w:cs="Calibri"/>
          <w:lang w:val="en-US"/>
        </w:rPr>
        <w:t xml:space="preserve"> Iodine oxoacids enhance nucleation of sulfuric acid particles in the atmosphere. </w:t>
      </w:r>
      <w:r w:rsidRPr="008A7D97">
        <w:rPr>
          <w:rFonts w:ascii="Calibri" w:hAnsi="Calibri" w:cs="Calibri"/>
          <w:i/>
          <w:iCs/>
        </w:rPr>
        <w:t>Science</w:t>
      </w:r>
      <w:r w:rsidRPr="008A7D97">
        <w:rPr>
          <w:rFonts w:ascii="Calibri" w:hAnsi="Calibri" w:cs="Calibri"/>
        </w:rPr>
        <w:t xml:space="preserve"> </w:t>
      </w:r>
      <w:r w:rsidRPr="008A7D97">
        <w:rPr>
          <w:rFonts w:ascii="Calibri" w:hAnsi="Calibri" w:cs="Calibri"/>
          <w:b/>
          <w:bCs/>
        </w:rPr>
        <w:t>382</w:t>
      </w:r>
      <w:r w:rsidRPr="008A7D97">
        <w:rPr>
          <w:rFonts w:ascii="Calibri" w:hAnsi="Calibri" w:cs="Calibri"/>
        </w:rPr>
        <w:t>, 1308–1314 (2023).</w:t>
      </w:r>
    </w:p>
    <w:p w14:paraId="7D3B04C1" w14:textId="6E12320C" w:rsidR="00E01BD5" w:rsidRPr="00853FC2" w:rsidRDefault="009F495E" w:rsidP="00853FC2">
      <w:pPr>
        <w:rPr>
          <w:lang w:val="en-US"/>
        </w:rPr>
      </w:pPr>
      <w:r>
        <w:rPr>
          <w:lang w:val="en-US"/>
        </w:rPr>
        <w:fldChar w:fldCharType="end"/>
      </w:r>
    </w:p>
    <w:sectPr w:rsidR="00E01BD5" w:rsidRPr="00853F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414B1"/>
    <w:multiLevelType w:val="hybridMultilevel"/>
    <w:tmpl w:val="E5046B70"/>
    <w:lvl w:ilvl="0" w:tplc="040B0001">
      <w:start w:val="1"/>
      <w:numFmt w:val="bullet"/>
      <w:lvlText w:val=""/>
      <w:lvlJc w:val="left"/>
      <w:pPr>
        <w:ind w:left="2020" w:hanging="360"/>
      </w:pPr>
      <w:rPr>
        <w:rFonts w:ascii="Symbol" w:hAnsi="Symbol" w:hint="default"/>
      </w:rPr>
    </w:lvl>
    <w:lvl w:ilvl="1" w:tplc="040B0003" w:tentative="1">
      <w:start w:val="1"/>
      <w:numFmt w:val="bullet"/>
      <w:lvlText w:val="o"/>
      <w:lvlJc w:val="left"/>
      <w:pPr>
        <w:ind w:left="2740" w:hanging="360"/>
      </w:pPr>
      <w:rPr>
        <w:rFonts w:ascii="Courier New" w:hAnsi="Courier New" w:cs="Courier New" w:hint="default"/>
      </w:rPr>
    </w:lvl>
    <w:lvl w:ilvl="2" w:tplc="040B0005" w:tentative="1">
      <w:start w:val="1"/>
      <w:numFmt w:val="bullet"/>
      <w:lvlText w:val=""/>
      <w:lvlJc w:val="left"/>
      <w:pPr>
        <w:ind w:left="3460" w:hanging="360"/>
      </w:pPr>
      <w:rPr>
        <w:rFonts w:ascii="Wingdings" w:hAnsi="Wingdings" w:hint="default"/>
      </w:rPr>
    </w:lvl>
    <w:lvl w:ilvl="3" w:tplc="040B0001" w:tentative="1">
      <w:start w:val="1"/>
      <w:numFmt w:val="bullet"/>
      <w:lvlText w:val=""/>
      <w:lvlJc w:val="left"/>
      <w:pPr>
        <w:ind w:left="4180" w:hanging="360"/>
      </w:pPr>
      <w:rPr>
        <w:rFonts w:ascii="Symbol" w:hAnsi="Symbol" w:hint="default"/>
      </w:rPr>
    </w:lvl>
    <w:lvl w:ilvl="4" w:tplc="040B0003" w:tentative="1">
      <w:start w:val="1"/>
      <w:numFmt w:val="bullet"/>
      <w:lvlText w:val="o"/>
      <w:lvlJc w:val="left"/>
      <w:pPr>
        <w:ind w:left="4900" w:hanging="360"/>
      </w:pPr>
      <w:rPr>
        <w:rFonts w:ascii="Courier New" w:hAnsi="Courier New" w:cs="Courier New" w:hint="default"/>
      </w:rPr>
    </w:lvl>
    <w:lvl w:ilvl="5" w:tplc="040B0005" w:tentative="1">
      <w:start w:val="1"/>
      <w:numFmt w:val="bullet"/>
      <w:lvlText w:val=""/>
      <w:lvlJc w:val="left"/>
      <w:pPr>
        <w:ind w:left="5620" w:hanging="360"/>
      </w:pPr>
      <w:rPr>
        <w:rFonts w:ascii="Wingdings" w:hAnsi="Wingdings" w:hint="default"/>
      </w:rPr>
    </w:lvl>
    <w:lvl w:ilvl="6" w:tplc="040B0001" w:tentative="1">
      <w:start w:val="1"/>
      <w:numFmt w:val="bullet"/>
      <w:lvlText w:val=""/>
      <w:lvlJc w:val="left"/>
      <w:pPr>
        <w:ind w:left="6340" w:hanging="360"/>
      </w:pPr>
      <w:rPr>
        <w:rFonts w:ascii="Symbol" w:hAnsi="Symbol" w:hint="default"/>
      </w:rPr>
    </w:lvl>
    <w:lvl w:ilvl="7" w:tplc="040B0003" w:tentative="1">
      <w:start w:val="1"/>
      <w:numFmt w:val="bullet"/>
      <w:lvlText w:val="o"/>
      <w:lvlJc w:val="left"/>
      <w:pPr>
        <w:ind w:left="7060" w:hanging="360"/>
      </w:pPr>
      <w:rPr>
        <w:rFonts w:ascii="Courier New" w:hAnsi="Courier New" w:cs="Courier New" w:hint="default"/>
      </w:rPr>
    </w:lvl>
    <w:lvl w:ilvl="8" w:tplc="040B0005" w:tentative="1">
      <w:start w:val="1"/>
      <w:numFmt w:val="bullet"/>
      <w:lvlText w:val=""/>
      <w:lvlJc w:val="left"/>
      <w:pPr>
        <w:ind w:left="7780" w:hanging="360"/>
      </w:pPr>
      <w:rPr>
        <w:rFonts w:ascii="Wingdings" w:hAnsi="Wingdings" w:hint="default"/>
      </w:rPr>
    </w:lvl>
  </w:abstractNum>
  <w:abstractNum w:abstractNumId="1" w15:restartNumberingAfterBreak="0">
    <w:nsid w:val="192A0800"/>
    <w:multiLevelType w:val="hybridMultilevel"/>
    <w:tmpl w:val="74A8C740"/>
    <w:lvl w:ilvl="0" w:tplc="53CE8178">
      <w:numFmt w:val="bullet"/>
      <w:lvlText w:val="-"/>
      <w:lvlJc w:val="left"/>
      <w:pPr>
        <w:ind w:left="1668" w:hanging="360"/>
      </w:pPr>
      <w:rPr>
        <w:rFonts w:ascii="Calibri" w:eastAsiaTheme="minorHAnsi" w:hAnsi="Calibri" w:cs="Calibri"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abstractNum w:abstractNumId="2" w15:restartNumberingAfterBreak="0">
    <w:nsid w:val="34474628"/>
    <w:multiLevelType w:val="hybridMultilevel"/>
    <w:tmpl w:val="7CF66424"/>
    <w:lvl w:ilvl="0" w:tplc="53CE8178">
      <w:numFmt w:val="bullet"/>
      <w:lvlText w:val="-"/>
      <w:lvlJc w:val="left"/>
      <w:pPr>
        <w:ind w:left="1668"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6006DAB"/>
    <w:multiLevelType w:val="hybridMultilevel"/>
    <w:tmpl w:val="0500106E"/>
    <w:lvl w:ilvl="0" w:tplc="53CE8178">
      <w:numFmt w:val="bullet"/>
      <w:lvlText w:val="-"/>
      <w:lvlJc w:val="left"/>
      <w:pPr>
        <w:ind w:left="1668"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62C6CD2"/>
    <w:multiLevelType w:val="hybridMultilevel"/>
    <w:tmpl w:val="0EF8A2D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2486A79"/>
    <w:multiLevelType w:val="hybridMultilevel"/>
    <w:tmpl w:val="FB1E4D4E"/>
    <w:lvl w:ilvl="0" w:tplc="53CE8178">
      <w:numFmt w:val="bullet"/>
      <w:lvlText w:val="-"/>
      <w:lvlJc w:val="left"/>
      <w:pPr>
        <w:ind w:left="1668"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51B3532"/>
    <w:multiLevelType w:val="hybridMultilevel"/>
    <w:tmpl w:val="115C5608"/>
    <w:lvl w:ilvl="0" w:tplc="61EE7ED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86D140F"/>
    <w:multiLevelType w:val="hybridMultilevel"/>
    <w:tmpl w:val="90325164"/>
    <w:lvl w:ilvl="0" w:tplc="53CE8178">
      <w:numFmt w:val="bullet"/>
      <w:lvlText w:val="-"/>
      <w:lvlJc w:val="left"/>
      <w:pPr>
        <w:ind w:left="1668"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2BF0AAB"/>
    <w:multiLevelType w:val="hybridMultilevel"/>
    <w:tmpl w:val="EBEC3FE6"/>
    <w:lvl w:ilvl="0" w:tplc="53CE8178">
      <w:numFmt w:val="bullet"/>
      <w:lvlText w:val="-"/>
      <w:lvlJc w:val="left"/>
      <w:pPr>
        <w:ind w:left="1668"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69471B28"/>
    <w:multiLevelType w:val="hybridMultilevel"/>
    <w:tmpl w:val="29C4C90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0" w15:restartNumberingAfterBreak="0">
    <w:nsid w:val="72CC5E9A"/>
    <w:multiLevelType w:val="hybridMultilevel"/>
    <w:tmpl w:val="F3247136"/>
    <w:lvl w:ilvl="0" w:tplc="53CE8178">
      <w:numFmt w:val="bullet"/>
      <w:lvlText w:val="-"/>
      <w:lvlJc w:val="left"/>
      <w:pPr>
        <w:ind w:left="1668"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6FD1419"/>
    <w:multiLevelType w:val="hybridMultilevel"/>
    <w:tmpl w:val="D6A62562"/>
    <w:lvl w:ilvl="0" w:tplc="53CE8178">
      <w:start w:val="10"/>
      <w:numFmt w:val="bullet"/>
      <w:lvlText w:val="-"/>
      <w:lvlJc w:val="left"/>
      <w:pPr>
        <w:ind w:left="1668" w:hanging="360"/>
      </w:pPr>
      <w:rPr>
        <w:rFonts w:ascii="Calibri" w:eastAsiaTheme="minorHAnsi" w:hAnsi="Calibri" w:cs="Calibri"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num w:numId="1" w16cid:durableId="1738625751">
    <w:abstractNumId w:val="4"/>
  </w:num>
  <w:num w:numId="2" w16cid:durableId="354694287">
    <w:abstractNumId w:val="0"/>
  </w:num>
  <w:num w:numId="3" w16cid:durableId="147599787">
    <w:abstractNumId w:val="1"/>
  </w:num>
  <w:num w:numId="4" w16cid:durableId="900871153">
    <w:abstractNumId w:val="7"/>
  </w:num>
  <w:num w:numId="5" w16cid:durableId="1588417453">
    <w:abstractNumId w:val="5"/>
  </w:num>
  <w:num w:numId="6" w16cid:durableId="1212956056">
    <w:abstractNumId w:val="3"/>
  </w:num>
  <w:num w:numId="7" w16cid:durableId="1079400482">
    <w:abstractNumId w:val="8"/>
  </w:num>
  <w:num w:numId="8" w16cid:durableId="1763064574">
    <w:abstractNumId w:val="11"/>
  </w:num>
  <w:num w:numId="9" w16cid:durableId="691759305">
    <w:abstractNumId w:val="2"/>
  </w:num>
  <w:num w:numId="10" w16cid:durableId="1861897066">
    <w:abstractNumId w:val="10"/>
  </w:num>
  <w:num w:numId="11" w16cid:durableId="1092051942">
    <w:abstractNumId w:val="6"/>
  </w:num>
  <w:num w:numId="12" w16cid:durableId="2785349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03"/>
    <w:rsid w:val="00002020"/>
    <w:rsid w:val="00004B53"/>
    <w:rsid w:val="00004DA7"/>
    <w:rsid w:val="000128DE"/>
    <w:rsid w:val="00022FAD"/>
    <w:rsid w:val="000246B9"/>
    <w:rsid w:val="00031121"/>
    <w:rsid w:val="0004008E"/>
    <w:rsid w:val="00041ED7"/>
    <w:rsid w:val="0004221E"/>
    <w:rsid w:val="000504E9"/>
    <w:rsid w:val="00050D63"/>
    <w:rsid w:val="00056450"/>
    <w:rsid w:val="000570E6"/>
    <w:rsid w:val="00062826"/>
    <w:rsid w:val="00063B96"/>
    <w:rsid w:val="00064D86"/>
    <w:rsid w:val="00066268"/>
    <w:rsid w:val="00066C3E"/>
    <w:rsid w:val="0007118B"/>
    <w:rsid w:val="0007271B"/>
    <w:rsid w:val="00074CCE"/>
    <w:rsid w:val="00075CF9"/>
    <w:rsid w:val="00080FFF"/>
    <w:rsid w:val="000845CD"/>
    <w:rsid w:val="00087124"/>
    <w:rsid w:val="0009427C"/>
    <w:rsid w:val="00094C20"/>
    <w:rsid w:val="000A0508"/>
    <w:rsid w:val="000A66AF"/>
    <w:rsid w:val="000B3A70"/>
    <w:rsid w:val="000B4B82"/>
    <w:rsid w:val="000B5255"/>
    <w:rsid w:val="000C2F4A"/>
    <w:rsid w:val="000C3480"/>
    <w:rsid w:val="000C43FE"/>
    <w:rsid w:val="000C475E"/>
    <w:rsid w:val="000D080B"/>
    <w:rsid w:val="000D0DE3"/>
    <w:rsid w:val="000D19E5"/>
    <w:rsid w:val="000D308E"/>
    <w:rsid w:val="000D30E9"/>
    <w:rsid w:val="000D3C41"/>
    <w:rsid w:val="000D4784"/>
    <w:rsid w:val="000D4A0F"/>
    <w:rsid w:val="000D5ABC"/>
    <w:rsid w:val="000D63FC"/>
    <w:rsid w:val="000D668F"/>
    <w:rsid w:val="000E1022"/>
    <w:rsid w:val="000E18F3"/>
    <w:rsid w:val="000E3CD2"/>
    <w:rsid w:val="000E490D"/>
    <w:rsid w:val="000F350E"/>
    <w:rsid w:val="000F45DB"/>
    <w:rsid w:val="000F5026"/>
    <w:rsid w:val="000F5F17"/>
    <w:rsid w:val="000F5FC0"/>
    <w:rsid w:val="00100262"/>
    <w:rsid w:val="00100507"/>
    <w:rsid w:val="00102DD2"/>
    <w:rsid w:val="00104C56"/>
    <w:rsid w:val="00106979"/>
    <w:rsid w:val="00107152"/>
    <w:rsid w:val="00107ADF"/>
    <w:rsid w:val="0011044F"/>
    <w:rsid w:val="00115173"/>
    <w:rsid w:val="00117285"/>
    <w:rsid w:val="00122FD7"/>
    <w:rsid w:val="00123B31"/>
    <w:rsid w:val="00131D0E"/>
    <w:rsid w:val="00137531"/>
    <w:rsid w:val="00137867"/>
    <w:rsid w:val="00140289"/>
    <w:rsid w:val="00144EEC"/>
    <w:rsid w:val="00150FC0"/>
    <w:rsid w:val="001552DD"/>
    <w:rsid w:val="00155459"/>
    <w:rsid w:val="001557F6"/>
    <w:rsid w:val="001558DF"/>
    <w:rsid w:val="0015719A"/>
    <w:rsid w:val="00162C6C"/>
    <w:rsid w:val="001634B2"/>
    <w:rsid w:val="00164729"/>
    <w:rsid w:val="0016490F"/>
    <w:rsid w:val="00172F51"/>
    <w:rsid w:val="00173753"/>
    <w:rsid w:val="00174818"/>
    <w:rsid w:val="001753BE"/>
    <w:rsid w:val="001775B4"/>
    <w:rsid w:val="00181271"/>
    <w:rsid w:val="001842DD"/>
    <w:rsid w:val="00190537"/>
    <w:rsid w:val="0019176F"/>
    <w:rsid w:val="001940B7"/>
    <w:rsid w:val="001947E6"/>
    <w:rsid w:val="001A0F7E"/>
    <w:rsid w:val="001A10E7"/>
    <w:rsid w:val="001A26A0"/>
    <w:rsid w:val="001A4C35"/>
    <w:rsid w:val="001A67AE"/>
    <w:rsid w:val="001A6E92"/>
    <w:rsid w:val="001B4FA7"/>
    <w:rsid w:val="001B5F7A"/>
    <w:rsid w:val="001C1089"/>
    <w:rsid w:val="001C3827"/>
    <w:rsid w:val="001D2A45"/>
    <w:rsid w:val="001D3BA6"/>
    <w:rsid w:val="001D7013"/>
    <w:rsid w:val="001D7B62"/>
    <w:rsid w:val="001D7FF6"/>
    <w:rsid w:val="001E0331"/>
    <w:rsid w:val="001E06D6"/>
    <w:rsid w:val="001E71E4"/>
    <w:rsid w:val="001F6259"/>
    <w:rsid w:val="001F64DD"/>
    <w:rsid w:val="001F78F1"/>
    <w:rsid w:val="00201948"/>
    <w:rsid w:val="00203908"/>
    <w:rsid w:val="002047F2"/>
    <w:rsid w:val="00210CC3"/>
    <w:rsid w:val="00213E88"/>
    <w:rsid w:val="002141E1"/>
    <w:rsid w:val="002165EC"/>
    <w:rsid w:val="0021787C"/>
    <w:rsid w:val="00222B79"/>
    <w:rsid w:val="00224131"/>
    <w:rsid w:val="002249D2"/>
    <w:rsid w:val="00224C79"/>
    <w:rsid w:val="00227BDE"/>
    <w:rsid w:val="00230215"/>
    <w:rsid w:val="00231ACC"/>
    <w:rsid w:val="0023345B"/>
    <w:rsid w:val="00233DC1"/>
    <w:rsid w:val="002362B3"/>
    <w:rsid w:val="0023760F"/>
    <w:rsid w:val="00241D1C"/>
    <w:rsid w:val="00243CD4"/>
    <w:rsid w:val="00246762"/>
    <w:rsid w:val="002479D9"/>
    <w:rsid w:val="00250562"/>
    <w:rsid w:val="00256BD8"/>
    <w:rsid w:val="00265418"/>
    <w:rsid w:val="0026596F"/>
    <w:rsid w:val="002719D6"/>
    <w:rsid w:val="002768E9"/>
    <w:rsid w:val="002831EC"/>
    <w:rsid w:val="00287477"/>
    <w:rsid w:val="0029272E"/>
    <w:rsid w:val="002A0094"/>
    <w:rsid w:val="002A06F4"/>
    <w:rsid w:val="002A1675"/>
    <w:rsid w:val="002A16C9"/>
    <w:rsid w:val="002A4117"/>
    <w:rsid w:val="002A5216"/>
    <w:rsid w:val="002B2F1E"/>
    <w:rsid w:val="002B485D"/>
    <w:rsid w:val="002B5DFF"/>
    <w:rsid w:val="002B6CFB"/>
    <w:rsid w:val="002B7BED"/>
    <w:rsid w:val="002C0772"/>
    <w:rsid w:val="002C0EF0"/>
    <w:rsid w:val="002C37FA"/>
    <w:rsid w:val="002C5899"/>
    <w:rsid w:val="002C5A4A"/>
    <w:rsid w:val="002C5EA8"/>
    <w:rsid w:val="002D02DC"/>
    <w:rsid w:val="002D0887"/>
    <w:rsid w:val="002D166E"/>
    <w:rsid w:val="002D3AA5"/>
    <w:rsid w:val="002D64F8"/>
    <w:rsid w:val="002D7A52"/>
    <w:rsid w:val="002E3E9E"/>
    <w:rsid w:val="002E6353"/>
    <w:rsid w:val="002E6918"/>
    <w:rsid w:val="002E6D19"/>
    <w:rsid w:val="002F2EF8"/>
    <w:rsid w:val="00300A48"/>
    <w:rsid w:val="00301B5D"/>
    <w:rsid w:val="0030316C"/>
    <w:rsid w:val="00304A83"/>
    <w:rsid w:val="00311F41"/>
    <w:rsid w:val="0031503B"/>
    <w:rsid w:val="00316EAB"/>
    <w:rsid w:val="00323A06"/>
    <w:rsid w:val="00330D70"/>
    <w:rsid w:val="003312D3"/>
    <w:rsid w:val="003335FD"/>
    <w:rsid w:val="0034031D"/>
    <w:rsid w:val="00343452"/>
    <w:rsid w:val="00345BED"/>
    <w:rsid w:val="00346735"/>
    <w:rsid w:val="00350685"/>
    <w:rsid w:val="00351CA5"/>
    <w:rsid w:val="0035210C"/>
    <w:rsid w:val="003600FF"/>
    <w:rsid w:val="003605B7"/>
    <w:rsid w:val="00366105"/>
    <w:rsid w:val="003674AE"/>
    <w:rsid w:val="00367CC5"/>
    <w:rsid w:val="003715A4"/>
    <w:rsid w:val="003729B6"/>
    <w:rsid w:val="00374969"/>
    <w:rsid w:val="00384702"/>
    <w:rsid w:val="00392881"/>
    <w:rsid w:val="0039426B"/>
    <w:rsid w:val="003A08E1"/>
    <w:rsid w:val="003A1259"/>
    <w:rsid w:val="003A2067"/>
    <w:rsid w:val="003A536F"/>
    <w:rsid w:val="003A6FC5"/>
    <w:rsid w:val="003B651E"/>
    <w:rsid w:val="003C04EE"/>
    <w:rsid w:val="003C1F31"/>
    <w:rsid w:val="003C57A8"/>
    <w:rsid w:val="003D1061"/>
    <w:rsid w:val="003D1158"/>
    <w:rsid w:val="003D6F49"/>
    <w:rsid w:val="003D75B1"/>
    <w:rsid w:val="003E21B6"/>
    <w:rsid w:val="003E6FD4"/>
    <w:rsid w:val="003E7E56"/>
    <w:rsid w:val="003F33B2"/>
    <w:rsid w:val="003F3A1D"/>
    <w:rsid w:val="003F43E3"/>
    <w:rsid w:val="003F4A2B"/>
    <w:rsid w:val="003F61AB"/>
    <w:rsid w:val="003F61EC"/>
    <w:rsid w:val="003F7442"/>
    <w:rsid w:val="003F7B45"/>
    <w:rsid w:val="003F7F2A"/>
    <w:rsid w:val="00401D3C"/>
    <w:rsid w:val="00404263"/>
    <w:rsid w:val="004076AE"/>
    <w:rsid w:val="004078EE"/>
    <w:rsid w:val="0041499F"/>
    <w:rsid w:val="00414DAD"/>
    <w:rsid w:val="004267B9"/>
    <w:rsid w:val="00431158"/>
    <w:rsid w:val="00431AB8"/>
    <w:rsid w:val="00432666"/>
    <w:rsid w:val="00433D2C"/>
    <w:rsid w:val="0043598E"/>
    <w:rsid w:val="00435DE2"/>
    <w:rsid w:val="00437E0B"/>
    <w:rsid w:val="0045096D"/>
    <w:rsid w:val="00450BEB"/>
    <w:rsid w:val="0045153A"/>
    <w:rsid w:val="00451578"/>
    <w:rsid w:val="0045240B"/>
    <w:rsid w:val="00457959"/>
    <w:rsid w:val="00470FE0"/>
    <w:rsid w:val="00471E02"/>
    <w:rsid w:val="004727DC"/>
    <w:rsid w:val="00473A49"/>
    <w:rsid w:val="00476C42"/>
    <w:rsid w:val="00477335"/>
    <w:rsid w:val="00480D15"/>
    <w:rsid w:val="00481C13"/>
    <w:rsid w:val="00482670"/>
    <w:rsid w:val="004832B9"/>
    <w:rsid w:val="0048331B"/>
    <w:rsid w:val="00487C51"/>
    <w:rsid w:val="004909E6"/>
    <w:rsid w:val="00490DC0"/>
    <w:rsid w:val="00495A6F"/>
    <w:rsid w:val="00496DA4"/>
    <w:rsid w:val="0049751F"/>
    <w:rsid w:val="004976F4"/>
    <w:rsid w:val="004A0B45"/>
    <w:rsid w:val="004A264B"/>
    <w:rsid w:val="004A406C"/>
    <w:rsid w:val="004A64AA"/>
    <w:rsid w:val="004A7883"/>
    <w:rsid w:val="004B19C1"/>
    <w:rsid w:val="004B1EF9"/>
    <w:rsid w:val="004C0043"/>
    <w:rsid w:val="004C041D"/>
    <w:rsid w:val="004C2C9B"/>
    <w:rsid w:val="004C7036"/>
    <w:rsid w:val="004D2E13"/>
    <w:rsid w:val="004E0882"/>
    <w:rsid w:val="004E1EFC"/>
    <w:rsid w:val="004E6BC0"/>
    <w:rsid w:val="004F0611"/>
    <w:rsid w:val="004F0A37"/>
    <w:rsid w:val="004F0BA9"/>
    <w:rsid w:val="004F4F6E"/>
    <w:rsid w:val="00505AF4"/>
    <w:rsid w:val="0050649F"/>
    <w:rsid w:val="005100F5"/>
    <w:rsid w:val="00511074"/>
    <w:rsid w:val="00512C9C"/>
    <w:rsid w:val="00514902"/>
    <w:rsid w:val="00515156"/>
    <w:rsid w:val="00515682"/>
    <w:rsid w:val="0051640D"/>
    <w:rsid w:val="00516883"/>
    <w:rsid w:val="005245E7"/>
    <w:rsid w:val="00524F0D"/>
    <w:rsid w:val="00531FA9"/>
    <w:rsid w:val="00532F61"/>
    <w:rsid w:val="005334E9"/>
    <w:rsid w:val="00536C7D"/>
    <w:rsid w:val="00537392"/>
    <w:rsid w:val="00537B12"/>
    <w:rsid w:val="005432E3"/>
    <w:rsid w:val="005458D6"/>
    <w:rsid w:val="005468A3"/>
    <w:rsid w:val="005527E2"/>
    <w:rsid w:val="00553FBF"/>
    <w:rsid w:val="00554423"/>
    <w:rsid w:val="00557B16"/>
    <w:rsid w:val="005617B6"/>
    <w:rsid w:val="00561D56"/>
    <w:rsid w:val="00563125"/>
    <w:rsid w:val="0056484B"/>
    <w:rsid w:val="005668A7"/>
    <w:rsid w:val="00571AC0"/>
    <w:rsid w:val="00572735"/>
    <w:rsid w:val="00573F0F"/>
    <w:rsid w:val="0057508B"/>
    <w:rsid w:val="00577366"/>
    <w:rsid w:val="0057755E"/>
    <w:rsid w:val="005808F6"/>
    <w:rsid w:val="00581F4F"/>
    <w:rsid w:val="00581FDF"/>
    <w:rsid w:val="00582BA7"/>
    <w:rsid w:val="005912A0"/>
    <w:rsid w:val="005915A2"/>
    <w:rsid w:val="00592AC9"/>
    <w:rsid w:val="00593AA2"/>
    <w:rsid w:val="00595077"/>
    <w:rsid w:val="005958A4"/>
    <w:rsid w:val="005A430D"/>
    <w:rsid w:val="005A7207"/>
    <w:rsid w:val="005A792D"/>
    <w:rsid w:val="005B059C"/>
    <w:rsid w:val="005B25CC"/>
    <w:rsid w:val="005B5386"/>
    <w:rsid w:val="005C196A"/>
    <w:rsid w:val="005C1F4C"/>
    <w:rsid w:val="005C492C"/>
    <w:rsid w:val="005C77C8"/>
    <w:rsid w:val="005D1947"/>
    <w:rsid w:val="005D33E9"/>
    <w:rsid w:val="005D4757"/>
    <w:rsid w:val="005D6293"/>
    <w:rsid w:val="005D798B"/>
    <w:rsid w:val="005E260B"/>
    <w:rsid w:val="005E28B8"/>
    <w:rsid w:val="005E35BA"/>
    <w:rsid w:val="005E510B"/>
    <w:rsid w:val="005E5BDC"/>
    <w:rsid w:val="005E66AB"/>
    <w:rsid w:val="005F03A5"/>
    <w:rsid w:val="005F4354"/>
    <w:rsid w:val="005F6424"/>
    <w:rsid w:val="005F693C"/>
    <w:rsid w:val="00602587"/>
    <w:rsid w:val="006038CB"/>
    <w:rsid w:val="00605949"/>
    <w:rsid w:val="00606F75"/>
    <w:rsid w:val="00607472"/>
    <w:rsid w:val="00610D96"/>
    <w:rsid w:val="00610E09"/>
    <w:rsid w:val="00611905"/>
    <w:rsid w:val="00615394"/>
    <w:rsid w:val="00615BD9"/>
    <w:rsid w:val="00623B3D"/>
    <w:rsid w:val="00623FBE"/>
    <w:rsid w:val="00627E7F"/>
    <w:rsid w:val="006307BC"/>
    <w:rsid w:val="00634951"/>
    <w:rsid w:val="00634F5E"/>
    <w:rsid w:val="006376E5"/>
    <w:rsid w:val="006402C0"/>
    <w:rsid w:val="00641F7E"/>
    <w:rsid w:val="00643F32"/>
    <w:rsid w:val="00647351"/>
    <w:rsid w:val="006516BB"/>
    <w:rsid w:val="00653C12"/>
    <w:rsid w:val="006644D3"/>
    <w:rsid w:val="006656DF"/>
    <w:rsid w:val="00681679"/>
    <w:rsid w:val="0068285B"/>
    <w:rsid w:val="0068402C"/>
    <w:rsid w:val="0068512C"/>
    <w:rsid w:val="00691506"/>
    <w:rsid w:val="006948BF"/>
    <w:rsid w:val="00695400"/>
    <w:rsid w:val="006A1D97"/>
    <w:rsid w:val="006A514F"/>
    <w:rsid w:val="006B16E7"/>
    <w:rsid w:val="006B1AF4"/>
    <w:rsid w:val="006B2408"/>
    <w:rsid w:val="006B3A41"/>
    <w:rsid w:val="006B3D7E"/>
    <w:rsid w:val="006B51AE"/>
    <w:rsid w:val="006B57A9"/>
    <w:rsid w:val="006C2B7C"/>
    <w:rsid w:val="006C5FF5"/>
    <w:rsid w:val="006C70E5"/>
    <w:rsid w:val="006D09BF"/>
    <w:rsid w:val="006D1F3C"/>
    <w:rsid w:val="006D2E6A"/>
    <w:rsid w:val="006D4E99"/>
    <w:rsid w:val="006D55B2"/>
    <w:rsid w:val="006E0BFD"/>
    <w:rsid w:val="006E639D"/>
    <w:rsid w:val="006E6702"/>
    <w:rsid w:val="00706F9D"/>
    <w:rsid w:val="0071176D"/>
    <w:rsid w:val="007128AA"/>
    <w:rsid w:val="00712E32"/>
    <w:rsid w:val="007169FC"/>
    <w:rsid w:val="007242DC"/>
    <w:rsid w:val="00725E0A"/>
    <w:rsid w:val="00730388"/>
    <w:rsid w:val="00734083"/>
    <w:rsid w:val="0073570E"/>
    <w:rsid w:val="00735A28"/>
    <w:rsid w:val="007407CD"/>
    <w:rsid w:val="007415FB"/>
    <w:rsid w:val="00741C34"/>
    <w:rsid w:val="0074317E"/>
    <w:rsid w:val="00746201"/>
    <w:rsid w:val="00751941"/>
    <w:rsid w:val="007529B8"/>
    <w:rsid w:val="007535C4"/>
    <w:rsid w:val="00756CEF"/>
    <w:rsid w:val="0076182D"/>
    <w:rsid w:val="00762245"/>
    <w:rsid w:val="007663B1"/>
    <w:rsid w:val="007723E8"/>
    <w:rsid w:val="00774367"/>
    <w:rsid w:val="00776B86"/>
    <w:rsid w:val="00781947"/>
    <w:rsid w:val="00782226"/>
    <w:rsid w:val="00783AD7"/>
    <w:rsid w:val="007849E9"/>
    <w:rsid w:val="007A0BCA"/>
    <w:rsid w:val="007A24FA"/>
    <w:rsid w:val="007A34E0"/>
    <w:rsid w:val="007A7646"/>
    <w:rsid w:val="007B0F7A"/>
    <w:rsid w:val="007B6440"/>
    <w:rsid w:val="007C3BC0"/>
    <w:rsid w:val="007C5AC2"/>
    <w:rsid w:val="007D571B"/>
    <w:rsid w:val="007D7963"/>
    <w:rsid w:val="007E217A"/>
    <w:rsid w:val="007E2617"/>
    <w:rsid w:val="007E38A8"/>
    <w:rsid w:val="007E4D27"/>
    <w:rsid w:val="007F56CE"/>
    <w:rsid w:val="007F6F23"/>
    <w:rsid w:val="008021AD"/>
    <w:rsid w:val="00802943"/>
    <w:rsid w:val="0080582A"/>
    <w:rsid w:val="00806E09"/>
    <w:rsid w:val="00812ECD"/>
    <w:rsid w:val="00813F13"/>
    <w:rsid w:val="008156D9"/>
    <w:rsid w:val="0081658C"/>
    <w:rsid w:val="00816EC6"/>
    <w:rsid w:val="00823961"/>
    <w:rsid w:val="00825DAF"/>
    <w:rsid w:val="00826E3A"/>
    <w:rsid w:val="00830361"/>
    <w:rsid w:val="00830417"/>
    <w:rsid w:val="008319B8"/>
    <w:rsid w:val="0083311B"/>
    <w:rsid w:val="00833297"/>
    <w:rsid w:val="008334F3"/>
    <w:rsid w:val="008344D0"/>
    <w:rsid w:val="00836590"/>
    <w:rsid w:val="008447AB"/>
    <w:rsid w:val="00850E9A"/>
    <w:rsid w:val="00852946"/>
    <w:rsid w:val="00853FC2"/>
    <w:rsid w:val="00855686"/>
    <w:rsid w:val="00861F04"/>
    <w:rsid w:val="0086228E"/>
    <w:rsid w:val="00863F0E"/>
    <w:rsid w:val="0086475B"/>
    <w:rsid w:val="00873127"/>
    <w:rsid w:val="00874226"/>
    <w:rsid w:val="00874FEA"/>
    <w:rsid w:val="00877AEC"/>
    <w:rsid w:val="00881E0C"/>
    <w:rsid w:val="00892E6C"/>
    <w:rsid w:val="00893353"/>
    <w:rsid w:val="008940DA"/>
    <w:rsid w:val="00894B70"/>
    <w:rsid w:val="00895BD1"/>
    <w:rsid w:val="00896C84"/>
    <w:rsid w:val="0089770F"/>
    <w:rsid w:val="008A20B5"/>
    <w:rsid w:val="008A368A"/>
    <w:rsid w:val="008A43ED"/>
    <w:rsid w:val="008A7D97"/>
    <w:rsid w:val="008B25DD"/>
    <w:rsid w:val="008B66CA"/>
    <w:rsid w:val="008C0A4F"/>
    <w:rsid w:val="008C20C9"/>
    <w:rsid w:val="008C2192"/>
    <w:rsid w:val="008C23D9"/>
    <w:rsid w:val="008D355F"/>
    <w:rsid w:val="008E308E"/>
    <w:rsid w:val="008E72B4"/>
    <w:rsid w:val="008F3053"/>
    <w:rsid w:val="008F52FA"/>
    <w:rsid w:val="008F5BA0"/>
    <w:rsid w:val="008F69F9"/>
    <w:rsid w:val="00901CD6"/>
    <w:rsid w:val="009038B2"/>
    <w:rsid w:val="00904F46"/>
    <w:rsid w:val="00906895"/>
    <w:rsid w:val="00907EF6"/>
    <w:rsid w:val="009115E0"/>
    <w:rsid w:val="009143E9"/>
    <w:rsid w:val="0091443F"/>
    <w:rsid w:val="00921838"/>
    <w:rsid w:val="00922563"/>
    <w:rsid w:val="00925E31"/>
    <w:rsid w:val="00930157"/>
    <w:rsid w:val="009315A0"/>
    <w:rsid w:val="009367D2"/>
    <w:rsid w:val="00936E35"/>
    <w:rsid w:val="009371D0"/>
    <w:rsid w:val="00944CC1"/>
    <w:rsid w:val="009552B7"/>
    <w:rsid w:val="0096370A"/>
    <w:rsid w:val="00966518"/>
    <w:rsid w:val="009705DD"/>
    <w:rsid w:val="0097097D"/>
    <w:rsid w:val="00972221"/>
    <w:rsid w:val="0097240C"/>
    <w:rsid w:val="00972884"/>
    <w:rsid w:val="009770D7"/>
    <w:rsid w:val="00991988"/>
    <w:rsid w:val="00991EB9"/>
    <w:rsid w:val="009942C6"/>
    <w:rsid w:val="00995F5D"/>
    <w:rsid w:val="00997627"/>
    <w:rsid w:val="00997808"/>
    <w:rsid w:val="00997ADE"/>
    <w:rsid w:val="009A3834"/>
    <w:rsid w:val="009A3B96"/>
    <w:rsid w:val="009A4121"/>
    <w:rsid w:val="009B3582"/>
    <w:rsid w:val="009B435B"/>
    <w:rsid w:val="009B4DA7"/>
    <w:rsid w:val="009C3C0C"/>
    <w:rsid w:val="009C5F72"/>
    <w:rsid w:val="009C6267"/>
    <w:rsid w:val="009C6B0E"/>
    <w:rsid w:val="009C712B"/>
    <w:rsid w:val="009C7793"/>
    <w:rsid w:val="009D0BBA"/>
    <w:rsid w:val="009D0F09"/>
    <w:rsid w:val="009D182E"/>
    <w:rsid w:val="009D1A6C"/>
    <w:rsid w:val="009D29F4"/>
    <w:rsid w:val="009D35B7"/>
    <w:rsid w:val="009E2E32"/>
    <w:rsid w:val="009E3EBC"/>
    <w:rsid w:val="009E60D9"/>
    <w:rsid w:val="009E696F"/>
    <w:rsid w:val="009F495E"/>
    <w:rsid w:val="009F5D57"/>
    <w:rsid w:val="009F7566"/>
    <w:rsid w:val="00A05D49"/>
    <w:rsid w:val="00A13271"/>
    <w:rsid w:val="00A16937"/>
    <w:rsid w:val="00A17464"/>
    <w:rsid w:val="00A17CE1"/>
    <w:rsid w:val="00A21A84"/>
    <w:rsid w:val="00A22471"/>
    <w:rsid w:val="00A306D7"/>
    <w:rsid w:val="00A315FB"/>
    <w:rsid w:val="00A33443"/>
    <w:rsid w:val="00A3442C"/>
    <w:rsid w:val="00A35AE4"/>
    <w:rsid w:val="00A35D43"/>
    <w:rsid w:val="00A3698E"/>
    <w:rsid w:val="00A40224"/>
    <w:rsid w:val="00A411BB"/>
    <w:rsid w:val="00A4424E"/>
    <w:rsid w:val="00A44AAB"/>
    <w:rsid w:val="00A4713F"/>
    <w:rsid w:val="00A50D98"/>
    <w:rsid w:val="00A5296F"/>
    <w:rsid w:val="00A565A9"/>
    <w:rsid w:val="00A624F2"/>
    <w:rsid w:val="00A62F45"/>
    <w:rsid w:val="00A63214"/>
    <w:rsid w:val="00A63A45"/>
    <w:rsid w:val="00A63C7C"/>
    <w:rsid w:val="00A66557"/>
    <w:rsid w:val="00A731BB"/>
    <w:rsid w:val="00A7634E"/>
    <w:rsid w:val="00A962AF"/>
    <w:rsid w:val="00A964FE"/>
    <w:rsid w:val="00A96BA7"/>
    <w:rsid w:val="00A97693"/>
    <w:rsid w:val="00AA120D"/>
    <w:rsid w:val="00AA3AD7"/>
    <w:rsid w:val="00AA535E"/>
    <w:rsid w:val="00AA72AC"/>
    <w:rsid w:val="00AA7A76"/>
    <w:rsid w:val="00AB115E"/>
    <w:rsid w:val="00AB1734"/>
    <w:rsid w:val="00AB303C"/>
    <w:rsid w:val="00AB39B6"/>
    <w:rsid w:val="00AC17B4"/>
    <w:rsid w:val="00AD0309"/>
    <w:rsid w:val="00AD264F"/>
    <w:rsid w:val="00AD7DAC"/>
    <w:rsid w:val="00AE139B"/>
    <w:rsid w:val="00AE17D4"/>
    <w:rsid w:val="00AE23D3"/>
    <w:rsid w:val="00AE43AE"/>
    <w:rsid w:val="00AE581D"/>
    <w:rsid w:val="00AE697C"/>
    <w:rsid w:val="00AE6B64"/>
    <w:rsid w:val="00AF2FEE"/>
    <w:rsid w:val="00B00CF0"/>
    <w:rsid w:val="00B0433D"/>
    <w:rsid w:val="00B06888"/>
    <w:rsid w:val="00B10047"/>
    <w:rsid w:val="00B12EF4"/>
    <w:rsid w:val="00B21AAF"/>
    <w:rsid w:val="00B226CD"/>
    <w:rsid w:val="00B245D7"/>
    <w:rsid w:val="00B269FC"/>
    <w:rsid w:val="00B27458"/>
    <w:rsid w:val="00B34117"/>
    <w:rsid w:val="00B35001"/>
    <w:rsid w:val="00B40603"/>
    <w:rsid w:val="00B411AF"/>
    <w:rsid w:val="00B436C7"/>
    <w:rsid w:val="00B458A7"/>
    <w:rsid w:val="00B46986"/>
    <w:rsid w:val="00B47274"/>
    <w:rsid w:val="00B51FDE"/>
    <w:rsid w:val="00B536A3"/>
    <w:rsid w:val="00B54DB1"/>
    <w:rsid w:val="00B61102"/>
    <w:rsid w:val="00B61882"/>
    <w:rsid w:val="00B61E05"/>
    <w:rsid w:val="00B63A4D"/>
    <w:rsid w:val="00B66D09"/>
    <w:rsid w:val="00B66F59"/>
    <w:rsid w:val="00B708AC"/>
    <w:rsid w:val="00B728B1"/>
    <w:rsid w:val="00B74964"/>
    <w:rsid w:val="00B76D83"/>
    <w:rsid w:val="00B82AD3"/>
    <w:rsid w:val="00B83A00"/>
    <w:rsid w:val="00B8547D"/>
    <w:rsid w:val="00B90826"/>
    <w:rsid w:val="00B90E61"/>
    <w:rsid w:val="00B91076"/>
    <w:rsid w:val="00B91349"/>
    <w:rsid w:val="00B91B95"/>
    <w:rsid w:val="00B9337E"/>
    <w:rsid w:val="00B95092"/>
    <w:rsid w:val="00B958AB"/>
    <w:rsid w:val="00B97689"/>
    <w:rsid w:val="00BA392D"/>
    <w:rsid w:val="00BA3A40"/>
    <w:rsid w:val="00BA43D2"/>
    <w:rsid w:val="00BA5287"/>
    <w:rsid w:val="00BA7FF1"/>
    <w:rsid w:val="00BB0F11"/>
    <w:rsid w:val="00BB13BD"/>
    <w:rsid w:val="00BC0B67"/>
    <w:rsid w:val="00BC1C40"/>
    <w:rsid w:val="00BC35BF"/>
    <w:rsid w:val="00BC61B7"/>
    <w:rsid w:val="00BC7C86"/>
    <w:rsid w:val="00BE103C"/>
    <w:rsid w:val="00BE3F52"/>
    <w:rsid w:val="00BE6F96"/>
    <w:rsid w:val="00BE7405"/>
    <w:rsid w:val="00BF105D"/>
    <w:rsid w:val="00BF1654"/>
    <w:rsid w:val="00BF1AFB"/>
    <w:rsid w:val="00BF25B2"/>
    <w:rsid w:val="00BF26C7"/>
    <w:rsid w:val="00BF275E"/>
    <w:rsid w:val="00BF2C4B"/>
    <w:rsid w:val="00C00898"/>
    <w:rsid w:val="00C04F9E"/>
    <w:rsid w:val="00C061B1"/>
    <w:rsid w:val="00C16E8E"/>
    <w:rsid w:val="00C1798D"/>
    <w:rsid w:val="00C20170"/>
    <w:rsid w:val="00C20BE3"/>
    <w:rsid w:val="00C225D3"/>
    <w:rsid w:val="00C229BB"/>
    <w:rsid w:val="00C2420F"/>
    <w:rsid w:val="00C24D7A"/>
    <w:rsid w:val="00C27084"/>
    <w:rsid w:val="00C30379"/>
    <w:rsid w:val="00C35572"/>
    <w:rsid w:val="00C3703E"/>
    <w:rsid w:val="00C37440"/>
    <w:rsid w:val="00C40445"/>
    <w:rsid w:val="00C415AA"/>
    <w:rsid w:val="00C423E3"/>
    <w:rsid w:val="00C4240C"/>
    <w:rsid w:val="00C4673A"/>
    <w:rsid w:val="00C469BF"/>
    <w:rsid w:val="00C51554"/>
    <w:rsid w:val="00C52787"/>
    <w:rsid w:val="00C61965"/>
    <w:rsid w:val="00C61F31"/>
    <w:rsid w:val="00C66110"/>
    <w:rsid w:val="00C66F46"/>
    <w:rsid w:val="00C80573"/>
    <w:rsid w:val="00C8765B"/>
    <w:rsid w:val="00C90007"/>
    <w:rsid w:val="00C903D0"/>
    <w:rsid w:val="00C913C2"/>
    <w:rsid w:val="00C9241C"/>
    <w:rsid w:val="00C930BD"/>
    <w:rsid w:val="00C93630"/>
    <w:rsid w:val="00C94326"/>
    <w:rsid w:val="00C96331"/>
    <w:rsid w:val="00C968A1"/>
    <w:rsid w:val="00CA1DEC"/>
    <w:rsid w:val="00CA75D0"/>
    <w:rsid w:val="00CA7A14"/>
    <w:rsid w:val="00CA7FDE"/>
    <w:rsid w:val="00CB7562"/>
    <w:rsid w:val="00CC3D2B"/>
    <w:rsid w:val="00CC4942"/>
    <w:rsid w:val="00CC7983"/>
    <w:rsid w:val="00CD13F6"/>
    <w:rsid w:val="00CD2640"/>
    <w:rsid w:val="00CD5F5F"/>
    <w:rsid w:val="00CE0B27"/>
    <w:rsid w:val="00CE116B"/>
    <w:rsid w:val="00CE67CC"/>
    <w:rsid w:val="00CF2521"/>
    <w:rsid w:val="00CF3AE6"/>
    <w:rsid w:val="00D03B67"/>
    <w:rsid w:val="00D105A4"/>
    <w:rsid w:val="00D11E60"/>
    <w:rsid w:val="00D122B5"/>
    <w:rsid w:val="00D154C5"/>
    <w:rsid w:val="00D21D4C"/>
    <w:rsid w:val="00D22906"/>
    <w:rsid w:val="00D22BCE"/>
    <w:rsid w:val="00D25CA3"/>
    <w:rsid w:val="00D25F61"/>
    <w:rsid w:val="00D277B8"/>
    <w:rsid w:val="00D31522"/>
    <w:rsid w:val="00D32B4D"/>
    <w:rsid w:val="00D346A1"/>
    <w:rsid w:val="00D34C34"/>
    <w:rsid w:val="00D4376A"/>
    <w:rsid w:val="00D442DB"/>
    <w:rsid w:val="00D44FA7"/>
    <w:rsid w:val="00D6192C"/>
    <w:rsid w:val="00D7256C"/>
    <w:rsid w:val="00D76A4D"/>
    <w:rsid w:val="00D81E56"/>
    <w:rsid w:val="00D82ACC"/>
    <w:rsid w:val="00D84D80"/>
    <w:rsid w:val="00D84E72"/>
    <w:rsid w:val="00D84EBD"/>
    <w:rsid w:val="00D85A84"/>
    <w:rsid w:val="00D8607C"/>
    <w:rsid w:val="00D871FA"/>
    <w:rsid w:val="00D87490"/>
    <w:rsid w:val="00D87779"/>
    <w:rsid w:val="00D91629"/>
    <w:rsid w:val="00D9330F"/>
    <w:rsid w:val="00DA0B5B"/>
    <w:rsid w:val="00DA2440"/>
    <w:rsid w:val="00DA2CDE"/>
    <w:rsid w:val="00DA3D0B"/>
    <w:rsid w:val="00DA4C36"/>
    <w:rsid w:val="00DA4F99"/>
    <w:rsid w:val="00DA5505"/>
    <w:rsid w:val="00DB1A0E"/>
    <w:rsid w:val="00DB29A3"/>
    <w:rsid w:val="00DC19CA"/>
    <w:rsid w:val="00DC3C62"/>
    <w:rsid w:val="00DC3EA5"/>
    <w:rsid w:val="00DC4C5A"/>
    <w:rsid w:val="00DD7BBE"/>
    <w:rsid w:val="00DE05BB"/>
    <w:rsid w:val="00DE63F5"/>
    <w:rsid w:val="00DE73AD"/>
    <w:rsid w:val="00DF6B12"/>
    <w:rsid w:val="00E008D9"/>
    <w:rsid w:val="00E00E91"/>
    <w:rsid w:val="00E01BD5"/>
    <w:rsid w:val="00E0209F"/>
    <w:rsid w:val="00E0402D"/>
    <w:rsid w:val="00E05F36"/>
    <w:rsid w:val="00E1143D"/>
    <w:rsid w:val="00E116BB"/>
    <w:rsid w:val="00E14797"/>
    <w:rsid w:val="00E15AB4"/>
    <w:rsid w:val="00E177C2"/>
    <w:rsid w:val="00E2612E"/>
    <w:rsid w:val="00E32B2D"/>
    <w:rsid w:val="00E35C3E"/>
    <w:rsid w:val="00E36030"/>
    <w:rsid w:val="00E41583"/>
    <w:rsid w:val="00E423C7"/>
    <w:rsid w:val="00E42638"/>
    <w:rsid w:val="00E47EAA"/>
    <w:rsid w:val="00E47FA5"/>
    <w:rsid w:val="00E510A9"/>
    <w:rsid w:val="00E54DA5"/>
    <w:rsid w:val="00E5724E"/>
    <w:rsid w:val="00E63069"/>
    <w:rsid w:val="00E64466"/>
    <w:rsid w:val="00E6452B"/>
    <w:rsid w:val="00E653BB"/>
    <w:rsid w:val="00E676D0"/>
    <w:rsid w:val="00E70196"/>
    <w:rsid w:val="00E72593"/>
    <w:rsid w:val="00E80E14"/>
    <w:rsid w:val="00E8161F"/>
    <w:rsid w:val="00E874E2"/>
    <w:rsid w:val="00E902DF"/>
    <w:rsid w:val="00E934D6"/>
    <w:rsid w:val="00E938EB"/>
    <w:rsid w:val="00E94A3C"/>
    <w:rsid w:val="00E94C90"/>
    <w:rsid w:val="00E9600B"/>
    <w:rsid w:val="00EA0ED4"/>
    <w:rsid w:val="00EA28E7"/>
    <w:rsid w:val="00EA2FD1"/>
    <w:rsid w:val="00EA47E3"/>
    <w:rsid w:val="00EA4DEA"/>
    <w:rsid w:val="00EA5C5A"/>
    <w:rsid w:val="00EA7633"/>
    <w:rsid w:val="00EB0782"/>
    <w:rsid w:val="00EB0B3D"/>
    <w:rsid w:val="00EB22C0"/>
    <w:rsid w:val="00EC3870"/>
    <w:rsid w:val="00EC6131"/>
    <w:rsid w:val="00ED4BCE"/>
    <w:rsid w:val="00ED5505"/>
    <w:rsid w:val="00ED6CEE"/>
    <w:rsid w:val="00EE4352"/>
    <w:rsid w:val="00EE449C"/>
    <w:rsid w:val="00EE45E7"/>
    <w:rsid w:val="00EE675E"/>
    <w:rsid w:val="00EF1A1E"/>
    <w:rsid w:val="00EF6781"/>
    <w:rsid w:val="00EF6CEA"/>
    <w:rsid w:val="00F00990"/>
    <w:rsid w:val="00F102F4"/>
    <w:rsid w:val="00F103E3"/>
    <w:rsid w:val="00F1553D"/>
    <w:rsid w:val="00F164D0"/>
    <w:rsid w:val="00F1674E"/>
    <w:rsid w:val="00F210D0"/>
    <w:rsid w:val="00F21B40"/>
    <w:rsid w:val="00F2250C"/>
    <w:rsid w:val="00F25230"/>
    <w:rsid w:val="00F271A5"/>
    <w:rsid w:val="00F277A0"/>
    <w:rsid w:val="00F321E2"/>
    <w:rsid w:val="00F32CDF"/>
    <w:rsid w:val="00F331EB"/>
    <w:rsid w:val="00F3552B"/>
    <w:rsid w:val="00F37E95"/>
    <w:rsid w:val="00F443D0"/>
    <w:rsid w:val="00F45CF2"/>
    <w:rsid w:val="00F47854"/>
    <w:rsid w:val="00F60B39"/>
    <w:rsid w:val="00F637F2"/>
    <w:rsid w:val="00F63838"/>
    <w:rsid w:val="00F645EA"/>
    <w:rsid w:val="00F66B71"/>
    <w:rsid w:val="00F67440"/>
    <w:rsid w:val="00F735AB"/>
    <w:rsid w:val="00F74FFD"/>
    <w:rsid w:val="00F75148"/>
    <w:rsid w:val="00F75FF0"/>
    <w:rsid w:val="00F76DC1"/>
    <w:rsid w:val="00F86B81"/>
    <w:rsid w:val="00F9090F"/>
    <w:rsid w:val="00F90BB1"/>
    <w:rsid w:val="00F90E79"/>
    <w:rsid w:val="00F96EB2"/>
    <w:rsid w:val="00F97ACC"/>
    <w:rsid w:val="00FA0442"/>
    <w:rsid w:val="00FA25AD"/>
    <w:rsid w:val="00FB0032"/>
    <w:rsid w:val="00FB33A2"/>
    <w:rsid w:val="00FB3C75"/>
    <w:rsid w:val="00FB6233"/>
    <w:rsid w:val="00FC0E84"/>
    <w:rsid w:val="00FD1517"/>
    <w:rsid w:val="00FD6AAB"/>
    <w:rsid w:val="00FE0175"/>
    <w:rsid w:val="00FE0920"/>
    <w:rsid w:val="00FE17F7"/>
    <w:rsid w:val="00FE3CDC"/>
    <w:rsid w:val="00FE4D55"/>
    <w:rsid w:val="00FE555A"/>
    <w:rsid w:val="00FE70D4"/>
    <w:rsid w:val="00FF107F"/>
    <w:rsid w:val="00FF67E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68190"/>
  <w15:chartTrackingRefBased/>
  <w15:docId w15:val="{850C768F-0FB3-48AC-9F35-9C245A65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B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2A45"/>
    <w:rPr>
      <w:sz w:val="16"/>
      <w:szCs w:val="16"/>
    </w:rPr>
  </w:style>
  <w:style w:type="paragraph" w:styleId="CommentText">
    <w:name w:val="annotation text"/>
    <w:basedOn w:val="Normal"/>
    <w:link w:val="CommentTextChar"/>
    <w:uiPriority w:val="99"/>
    <w:unhideWhenUsed/>
    <w:rsid w:val="001D2A45"/>
    <w:pPr>
      <w:spacing w:line="240" w:lineRule="auto"/>
    </w:pPr>
    <w:rPr>
      <w:sz w:val="20"/>
      <w:szCs w:val="20"/>
    </w:rPr>
  </w:style>
  <w:style w:type="character" w:customStyle="1" w:styleId="CommentTextChar">
    <w:name w:val="Comment Text Char"/>
    <w:basedOn w:val="DefaultParagraphFont"/>
    <w:link w:val="CommentText"/>
    <w:uiPriority w:val="99"/>
    <w:rsid w:val="001D2A45"/>
    <w:rPr>
      <w:sz w:val="20"/>
      <w:szCs w:val="20"/>
    </w:rPr>
  </w:style>
  <w:style w:type="paragraph" w:styleId="CommentSubject">
    <w:name w:val="annotation subject"/>
    <w:basedOn w:val="CommentText"/>
    <w:next w:val="CommentText"/>
    <w:link w:val="CommentSubjectChar"/>
    <w:uiPriority w:val="99"/>
    <w:semiHidden/>
    <w:unhideWhenUsed/>
    <w:rsid w:val="001D2A45"/>
    <w:rPr>
      <w:b/>
      <w:bCs/>
    </w:rPr>
  </w:style>
  <w:style w:type="character" w:customStyle="1" w:styleId="CommentSubjectChar">
    <w:name w:val="Comment Subject Char"/>
    <w:basedOn w:val="CommentTextChar"/>
    <w:link w:val="CommentSubject"/>
    <w:uiPriority w:val="99"/>
    <w:semiHidden/>
    <w:rsid w:val="001D2A45"/>
    <w:rPr>
      <w:b/>
      <w:bCs/>
      <w:sz w:val="20"/>
      <w:szCs w:val="20"/>
    </w:rPr>
  </w:style>
  <w:style w:type="paragraph" w:styleId="ListParagraph">
    <w:name w:val="List Paragraph"/>
    <w:basedOn w:val="Normal"/>
    <w:uiPriority w:val="34"/>
    <w:qFormat/>
    <w:rsid w:val="00B61102"/>
    <w:pPr>
      <w:ind w:left="720"/>
      <w:contextualSpacing/>
    </w:pPr>
  </w:style>
  <w:style w:type="paragraph" w:styleId="Bibliography">
    <w:name w:val="Bibliography"/>
    <w:basedOn w:val="Normal"/>
    <w:next w:val="Normal"/>
    <w:uiPriority w:val="37"/>
    <w:unhideWhenUsed/>
    <w:rsid w:val="009F495E"/>
    <w:pPr>
      <w:tabs>
        <w:tab w:val="left" w:pos="384"/>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42661">
      <w:bodyDiv w:val="1"/>
      <w:marLeft w:val="0"/>
      <w:marRight w:val="0"/>
      <w:marTop w:val="0"/>
      <w:marBottom w:val="0"/>
      <w:divBdr>
        <w:top w:val="none" w:sz="0" w:space="0" w:color="auto"/>
        <w:left w:val="none" w:sz="0" w:space="0" w:color="auto"/>
        <w:bottom w:val="none" w:sz="0" w:space="0" w:color="auto"/>
        <w:right w:val="none" w:sz="0" w:space="0" w:color="auto"/>
      </w:divBdr>
    </w:div>
    <w:div w:id="1468741794">
      <w:bodyDiv w:val="1"/>
      <w:marLeft w:val="0"/>
      <w:marRight w:val="0"/>
      <w:marTop w:val="0"/>
      <w:marBottom w:val="0"/>
      <w:divBdr>
        <w:top w:val="none" w:sz="0" w:space="0" w:color="auto"/>
        <w:left w:val="none" w:sz="0" w:space="0" w:color="auto"/>
        <w:bottom w:val="none" w:sz="0" w:space="0" w:color="auto"/>
        <w:right w:val="none" w:sz="0" w:space="0" w:color="auto"/>
      </w:divBdr>
      <w:divsChild>
        <w:div w:id="2139689107">
          <w:marLeft w:val="446"/>
          <w:marRight w:val="0"/>
          <w:marTop w:val="0"/>
          <w:marBottom w:val="0"/>
          <w:divBdr>
            <w:top w:val="none" w:sz="0" w:space="0" w:color="auto"/>
            <w:left w:val="none" w:sz="0" w:space="0" w:color="auto"/>
            <w:bottom w:val="none" w:sz="0" w:space="0" w:color="auto"/>
            <w:right w:val="none" w:sz="0" w:space="0" w:color="auto"/>
          </w:divBdr>
        </w:div>
      </w:divsChild>
    </w:div>
    <w:div w:id="206251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11794</Words>
  <Characters>95535</Characters>
  <Application>Microsoft Office Word</Application>
  <DocSecurity>0</DocSecurity>
  <Lines>796</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Matthew</dc:creator>
  <cp:keywords/>
  <dc:description/>
  <cp:lastModifiedBy>Boyer, Matthew</cp:lastModifiedBy>
  <cp:revision>9</cp:revision>
  <dcterms:created xsi:type="dcterms:W3CDTF">2024-10-22T11:26:00Z</dcterms:created>
  <dcterms:modified xsi:type="dcterms:W3CDTF">2024-10-29T12:47:00Z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id="PcnPV2YY"/&gt;&lt;style id="http://www.zotero.org/styles/nature" hasBibliography="1" bibliographyStyleHasBeenSet="1"/&gt;&lt;prefs&gt;&lt;pref name="fieldType" value="Field"/&gt;&lt;pref name="automaticJournalAbbreviatio</vt:lpwstr>
  </property>
  <property fmtid="{D5CDD505-2E9C-101B-9397-08002B2CF9AE}" pid="3" name="ZOTERO_PREF_2">
    <vt:lpwstr>ns" value="true"/&gt;&lt;/prefs&gt;&lt;/data&gt;</vt:lpwstr>
  </property>
</Properties>
</file>