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718E8">
      <w:pPr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  <w:t>Supporting information</w:t>
      </w:r>
    </w:p>
    <w:p w14:paraId="721E0D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Peptide hydrogel platform encapsulating manganese ions and high-density lipoprotein nanoparticle-mimicking nanovaccines for the prevention and treatment of gastric cancer</w:t>
      </w:r>
    </w:p>
    <w:p w14:paraId="5668D5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Xu Huang</w:t>
      </w:r>
      <w:r>
        <w:rPr>
          <w:rFonts w:hint="default" w:ascii="Times New Roman" w:hAnsi="Times New Roman" w:cs="Times New Roman"/>
          <w:sz w:val="24"/>
          <w:szCs w:val="24"/>
          <w:vertAlign w:val="superscript"/>
          <w:lang w:val="en-US" w:eastAsia="zh-CN"/>
        </w:rPr>
        <w:t>1, a, b</w:t>
      </w:r>
      <w:r>
        <w:rPr>
          <w:rFonts w:hint="eastAsia" w:ascii="Times New Roman" w:hAnsi="Times New Roman" w:cs="Times New Roman"/>
          <w:sz w:val="24"/>
          <w:szCs w:val="24"/>
          <w:vertAlign w:val="baseline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Lin Hong</w:t>
      </w:r>
      <w:r>
        <w:rPr>
          <w:rFonts w:hint="default" w:ascii="Times New Roman" w:hAnsi="Times New Roman" w:cs="Times New Roman"/>
          <w:sz w:val="24"/>
          <w:szCs w:val="24"/>
          <w:vertAlign w:val="superscript"/>
          <w:lang w:val="en-US" w:eastAsia="zh-CN"/>
        </w:rPr>
        <w:t>1, c</w:t>
      </w:r>
      <w:r>
        <w:rPr>
          <w:rFonts w:hint="eastAsia" w:ascii="Times New Roman" w:hAnsi="Times New Roman" w:cs="Times New Roman"/>
          <w:sz w:val="24"/>
          <w:szCs w:val="24"/>
          <w:vertAlign w:val="baseline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Yufan Lv</w:t>
      </w:r>
      <w:r>
        <w:rPr>
          <w:rFonts w:hint="eastAsia" w:ascii="Times New Roman" w:hAnsi="Times New Roman" w:cs="Times New Roman"/>
          <w:sz w:val="24"/>
          <w:szCs w:val="24"/>
          <w:vertAlign w:val="superscript"/>
          <w:lang w:val="en-US" w:eastAsia="zh-CN"/>
        </w:rPr>
        <w:t>1, a, b</w:t>
      </w:r>
      <w:r>
        <w:rPr>
          <w:rFonts w:hint="eastAsia" w:ascii="Times New Roman" w:hAnsi="Times New Roman" w:cs="Times New Roman"/>
          <w:sz w:val="24"/>
          <w:szCs w:val="24"/>
          <w:vertAlign w:val="baseline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Kejun Li</w:t>
      </w:r>
      <w:r>
        <w:rPr>
          <w:rFonts w:hint="eastAsia" w:ascii="Times New Roman" w:hAnsi="Times New Roman" w:cs="Times New Roman"/>
          <w:sz w:val="24"/>
          <w:szCs w:val="24"/>
          <w:vertAlign w:val="superscript"/>
          <w:lang w:val="en-US" w:eastAsia="zh-CN"/>
        </w:rPr>
        <w:t>d</w:t>
      </w:r>
      <w:r>
        <w:rPr>
          <w:rFonts w:hint="eastAsia" w:ascii="Times New Roman" w:hAnsi="Times New Roman" w:cs="Times New Roman"/>
          <w:sz w:val="24"/>
          <w:szCs w:val="24"/>
          <w:vertAlign w:val="baseline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Zengxing Zhang</w:t>
      </w:r>
      <w:r>
        <w:rPr>
          <w:rFonts w:hint="eastAsia" w:ascii="Times New Roman" w:hAnsi="Times New Roman" w:cs="Times New Roman"/>
          <w:sz w:val="24"/>
          <w:szCs w:val="24"/>
          <w:vertAlign w:val="superscript"/>
          <w:lang w:val="en-US" w:eastAsia="zh-CN"/>
        </w:rPr>
        <w:t>d</w:t>
      </w:r>
      <w:r>
        <w:rPr>
          <w:rFonts w:hint="eastAsia" w:ascii="Times New Roman" w:hAnsi="Times New Roman" w:cs="Times New Roman"/>
          <w:sz w:val="24"/>
          <w:szCs w:val="24"/>
          <w:vertAlign w:val="baseline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Junjian Deng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*</w:t>
      </w:r>
      <w:r>
        <w:rPr>
          <w:rFonts w:hint="eastAsia" w:ascii="Times New Roman" w:hAnsi="Times New Roman" w:cs="Times New Roman"/>
          <w:sz w:val="24"/>
          <w:szCs w:val="24"/>
          <w:vertAlign w:val="superscript"/>
          <w:lang w:val="en-US" w:eastAsia="zh-CN"/>
        </w:rPr>
        <w:t>, d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，Lei Shen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*</w:t>
      </w:r>
      <w:r>
        <w:rPr>
          <w:rFonts w:hint="eastAsia" w:ascii="Times New Roman" w:hAnsi="Times New Roman" w:cs="Times New Roman"/>
          <w:sz w:val="24"/>
          <w:szCs w:val="24"/>
          <w:vertAlign w:val="superscript"/>
          <w:lang w:val="en-US" w:eastAsia="zh-CN"/>
        </w:rPr>
        <w:t>, a, b</w:t>
      </w:r>
    </w:p>
    <w:p w14:paraId="5AC169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vertAlign w:val="superscript"/>
          <w:lang w:val="en-US" w:eastAsia="zh-CN"/>
        </w:rPr>
        <w:t>a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Department of Gastroenterology, Renmin Hospital of Wuhan University; Hubei Zhang Road (formerly Ziyang Road), Wuchang District No. 99, Jiefang Road 238, Wuhan, Hubei Province, China 430060</w:t>
      </w:r>
    </w:p>
    <w:p w14:paraId="41EC92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vertAlign w:val="superscript"/>
          <w:lang w:val="en-US" w:eastAsia="zh-CN"/>
        </w:rPr>
        <w:t>b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Key Laboratory of Hubei Province for Digestive System Disease, Renmin Hospital of Wuhan University; Hubei Zhang Road (formerly Ziyang Road), Wuchang District No. 99, Jiefang Road 238, Wuhan, Hubei Province, China 430060</w:t>
      </w:r>
    </w:p>
    <w:p w14:paraId="1F2377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vertAlign w:val="superscript"/>
          <w:lang w:val="en-US" w:eastAsia="zh-CN"/>
        </w:rPr>
        <w:t>c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cancer center，Qichun Country People’s hospital，Caohe town，Caohe Road No.198，Qichun County，Huanggang City，Hubei Province, China 430060</w:t>
      </w:r>
    </w:p>
    <w:p w14:paraId="0E2228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vertAlign w:val="superscript"/>
          <w:lang w:val="en-US" w:eastAsia="zh-CN"/>
        </w:rPr>
        <w:t>d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cancer center，Renmin Hospital of Wuhan University，Hubei Zhang Road (formerly Ziyang Road), Wuchang District No. 99, Jiefang Road 238, Wuhan, Hubei Province, China 430060</w:t>
      </w:r>
    </w:p>
    <w:p w14:paraId="094D78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vertAlign w:val="superscript"/>
          <w:lang w:val="en-US" w:eastAsia="zh-CN"/>
        </w:rPr>
        <w:t>1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 xml:space="preserve">These authors contributed equally: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Xu Huang</w:t>
      </w:r>
      <w:r>
        <w:rPr>
          <w:rFonts w:hint="eastAsia" w:ascii="Times New Roman" w:hAnsi="Times New Roman" w:cs="Times New Roman"/>
          <w:sz w:val="24"/>
          <w:szCs w:val="24"/>
          <w:vertAlign w:val="baseline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Lin Hong</w:t>
      </w:r>
      <w:r>
        <w:rPr>
          <w:rFonts w:hint="eastAsia" w:ascii="Times New Roman" w:hAnsi="Times New Roman" w:cs="Times New Roman"/>
          <w:sz w:val="24"/>
          <w:szCs w:val="24"/>
          <w:vertAlign w:val="baseline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Yufan Lv</w:t>
      </w:r>
    </w:p>
    <w:p w14:paraId="7AEF87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*corresponding author email: </w:t>
      </w:r>
      <w:r>
        <w:rPr>
          <w:rFonts w:hint="eastAsia" w:ascii="Times New Roman" w:hAnsi="Times New Roman" w:cs="Times New Roman"/>
          <w:color w:val="auto"/>
          <w:sz w:val="24"/>
          <w:szCs w:val="24"/>
          <w:u w:val="none"/>
          <w:lang w:val="en-US" w:eastAsia="zh-CN"/>
        </w:rPr>
        <w:t>quanshi1989@163.com (J. Deng),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color w:val="auto"/>
          <w:sz w:val="24"/>
          <w:szCs w:val="24"/>
          <w:u w:val="none"/>
          <w:lang w:val="en-US" w:eastAsia="zh-CN"/>
        </w:rPr>
        <w:t>szggyx2017@163.com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(L. Shen)</w:t>
      </w:r>
    </w:p>
    <w:p w14:paraId="16B0B75B">
      <w:pPr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br w:type="page"/>
      </w:r>
    </w:p>
    <w:p w14:paraId="5DB5DB96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1935480"/>
            <wp:effectExtent l="0" t="0" r="3175" b="0"/>
            <wp:docPr id="1" name="图片 1" descr="Figure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ure S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1935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4F7E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Figure S1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. TEM image and DLS size distribution profile of HPPS-OVA and HPPS-MG7. Scale bar: 30 nm. </w:t>
      </w:r>
    </w:p>
    <w:p w14:paraId="0FBE7E7A"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br w:type="page"/>
      </w:r>
    </w:p>
    <w:p w14:paraId="324973B6">
      <w:pPr>
        <w:rPr>
          <w:rFonts w:hint="eastAsia" w:eastAsiaTheme="minorEastAsia"/>
          <w:lang w:eastAsia="zh-CN"/>
        </w:rPr>
      </w:pPr>
      <w:r>
        <w:rPr>
          <w:rFonts w:hint="eastAsia"/>
          <w:lang w:val="en-US" w:eastAsia="zh-CN"/>
        </w:rPr>
        <w:t xml:space="preserve">                   </w: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2788285" cy="1758315"/>
            <wp:effectExtent l="0" t="0" r="635" b="9525"/>
            <wp:docPr id="2" name="图片 2" descr="Figure 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gure S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788285" cy="175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DF89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Figure S2.  Circular dichroism spectra of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HPPS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,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HPPS-OVA and HPPS-MG7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in PBS solutions.</w:t>
      </w:r>
    </w:p>
    <w:p w14:paraId="71549EDE"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br w:type="page"/>
      </w:r>
    </w:p>
    <w:p w14:paraId="363C3B30">
      <w:pPr>
        <w:ind w:left="210" w:hanging="210" w:hangingChars="10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1848485"/>
            <wp:effectExtent l="0" t="0" r="1270" b="10795"/>
            <wp:docPr id="3" name="图片 3" descr="Figure 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igure S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1848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A6A2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hanging="240" w:hangingChars="100"/>
        <w:textAlignment w:val="auto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Figure S3.  Representative F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ast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P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rotein liquid chromatography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profile of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HPPS-OVA</w:t>
      </w:r>
    </w:p>
    <w:p w14:paraId="3365CA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hanging="240" w:hangingChars="100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and HPPS-MG7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.</w:t>
      </w:r>
    </w:p>
    <w:p w14:paraId="33E1E050"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br w:type="page"/>
      </w:r>
      <w:bookmarkStart w:id="0" w:name="_GoBack"/>
      <w:bookmarkEnd w:id="0"/>
    </w:p>
    <w:p w14:paraId="4E5E1B3F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41290" cy="2412365"/>
            <wp:effectExtent l="0" t="0" r="1270" b="10795"/>
            <wp:docPr id="4" name="图片 4" descr="Figure S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Figure S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41290" cy="2412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8529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Figure S4. 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HPPS-AP (R4F-antigen)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distribution in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RMn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peptide hydrogel showed by confocal microscopy, Scale bar is 100 μm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FhOWMzNDE2YzQ3MzY1YzA3YzQyMjFjZTMxYjMyM2MifQ=="/>
  </w:docVars>
  <w:rsids>
    <w:rsidRoot w:val="70C40FE7"/>
    <w:rsid w:val="43577787"/>
    <w:rsid w:val="70C40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2024-10-30T13:15:00Z</dcterms:created>
  <dc:creator>现在与将来</dc:creator>
  <cp:lastModifiedBy>现在与将来</cp:lastModifiedBy>
  <dcterms:modified xsi:type="dcterms:W3CDTF">2024-10-31T01:04:21Z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BBE72A5E0D0F4DA4A0ADED48D959929E_13</vt:lpwstr>
  </property>
</Properties>
</file>