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4ABA5">
      <w:pPr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FFFFFF"/>
        </w:rPr>
        <w:t>Supplementary Material</w:t>
      </w:r>
    </w:p>
    <w:p w14:paraId="24B7DF4E">
      <w:pPr>
        <w:spacing w:line="480" w:lineRule="auto"/>
        <w:jc w:val="both"/>
        <w:rPr>
          <w:rFonts w:ascii="Times New Roman" w:hAnsi="Times New Roman" w:eastAsia="等线" w:cs="Times New Roman"/>
          <w:b/>
          <w:bCs/>
          <w:sz w:val="20"/>
          <w:szCs w:val="20"/>
          <w:shd w:val="clear" w:color="auto" w:fill="FFFFFF"/>
        </w:rPr>
      </w:pPr>
      <w:bookmarkStart w:id="0" w:name="OLE_LINK7"/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FFFFFF"/>
        </w:rPr>
        <w:t>Additional file 1</w:t>
      </w:r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>
        <w:rPr>
          <w:rFonts w:hint="eastAsia" w:ascii="Times New Roman" w:hAnsi="Times New Roman" w:eastAsia="等线" w:cs="Times New Roman"/>
          <w:b/>
          <w:bCs/>
          <w:sz w:val="20"/>
          <w:szCs w:val="20"/>
          <w:shd w:val="clear" w:color="auto" w:fill="FFFFFF"/>
        </w:rPr>
        <w:t xml:space="preserve"> </w:t>
      </w:r>
      <w:bookmarkStart w:id="1" w:name="OLE_LINK11"/>
    </w:p>
    <w:p w14:paraId="3CFE842F">
      <w:pPr>
        <w:spacing w:line="480" w:lineRule="auto"/>
        <w:jc w:val="both"/>
        <w:rPr>
          <w:rFonts w:ascii="Times New Roman" w:hAnsi="Times New Roman" w:eastAsia="等线" w:cs="Times New Roman"/>
          <w:b/>
          <w:bCs/>
          <w:sz w:val="20"/>
          <w:szCs w:val="20"/>
          <w:shd w:val="clear" w:color="auto" w:fill="FFFFFF"/>
        </w:rPr>
      </w:pPr>
      <w:r>
        <w:rPr>
          <w:rFonts w:hint="eastAsia" w:ascii="Times New Roman" w:hAnsi="Times New Roman" w:eastAsia="等线" w:cs="Times New Roman"/>
          <w:b/>
          <w:bCs/>
          <w:sz w:val="20"/>
          <w:szCs w:val="20"/>
          <w:shd w:val="clear" w:color="auto" w:fill="FFFFFF"/>
        </w:rPr>
        <w:drawing>
          <wp:inline distT="0" distB="0" distL="114300" distR="114300">
            <wp:extent cx="5267960" cy="1194435"/>
            <wp:effectExtent l="0" t="0" r="2540" b="12065"/>
            <wp:docPr id="9" name="图片 9" descr="大鼠技术路线图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大鼠技术路线图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1D88B">
      <w:pPr>
        <w:spacing w:line="48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eastAsia="Cambria" w:cs="Arial"/>
          <w:b/>
          <w:bCs/>
          <w:sz w:val="21"/>
          <w:szCs w:val="21"/>
          <w:shd w:val="clear" w:color="auto" w:fill="FFFFFF"/>
        </w:rPr>
        <w:t>Fig. S1</w:t>
      </w:r>
      <w:r>
        <w:rPr>
          <w:rFonts w:ascii="Arial" w:hAnsi="Arial" w:eastAsia="Cambria" w:cs="Arial"/>
          <w:sz w:val="21"/>
          <w:szCs w:val="21"/>
          <w:shd w:val="clear" w:color="auto" w:fill="FFFFFF"/>
        </w:rPr>
        <w:t xml:space="preserve"> The experimental protocol for testing the protective effect of Se</w:t>
      </w:r>
      <w:r>
        <w:rPr>
          <w:rFonts w:ascii="Arial" w:hAnsi="Arial" w:eastAsia="宋体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eastAsia="Cambria" w:cs="Arial"/>
          <w:sz w:val="21"/>
          <w:szCs w:val="21"/>
          <w:shd w:val="clear" w:color="auto" w:fill="FFFFFF"/>
        </w:rPr>
        <w:t xml:space="preserve">in the DEACMP model. </w:t>
      </w:r>
      <w:bookmarkEnd w:id="1"/>
    </w:p>
    <w:p w14:paraId="2C7CFB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drawing>
          <wp:inline distT="0" distB="0" distL="114300" distR="114300">
            <wp:extent cx="5270500" cy="5988685"/>
            <wp:effectExtent l="0" t="0" r="0" b="5715"/>
            <wp:docPr id="3" name="图片 3" descr="S1  PLS-DA 17_22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1  PLS-DA 17_22cm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8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Cambria" w:cs="Arial"/>
          <w:b/>
          <w:bCs/>
          <w:sz w:val="21"/>
          <w:szCs w:val="21"/>
          <w:shd w:val="clear" w:color="auto" w:fill="FFFFFF"/>
        </w:rPr>
        <w:t>Fig. S2</w:t>
      </w:r>
      <w:r>
        <w:rPr>
          <w:rFonts w:ascii="Arial" w:hAnsi="Arial" w:eastAsia="Cambria" w:cs="Arial"/>
          <w:sz w:val="21"/>
          <w:szCs w:val="21"/>
          <w:shd w:val="clear" w:color="auto" w:fill="FFFFFF"/>
        </w:rPr>
        <w:t xml:space="preserve"> Metabolomic analysis of serum samples from the three subgroups. </w:t>
      </w:r>
      <w:r>
        <w:rPr>
          <w:rFonts w:ascii="Arial" w:hAnsi="Arial" w:eastAsia="Cambria" w:cs="Arial"/>
          <w:b/>
          <w:bCs/>
          <w:sz w:val="21"/>
          <w:szCs w:val="21"/>
          <w:shd w:val="clear" w:color="auto" w:fill="FFFFFF"/>
        </w:rPr>
        <w:t>(A-C)</w:t>
      </w:r>
      <w:r>
        <w:rPr>
          <w:rFonts w:ascii="Arial" w:hAnsi="Arial" w:eastAsia="Cambria" w:cs="Arial"/>
          <w:sz w:val="21"/>
          <w:szCs w:val="21"/>
          <w:shd w:val="clear" w:color="auto" w:fill="FFFFFF"/>
        </w:rPr>
        <w:t xml:space="preserve"> PLS-DA model exhibits an obvious distinction between ACOP, ACOP-CT, and HCs. </w:t>
      </w:r>
      <w:r>
        <w:rPr>
          <w:rFonts w:ascii="Arial" w:hAnsi="Arial" w:eastAsia="Cambria" w:cs="Arial"/>
          <w:b/>
          <w:bCs/>
          <w:sz w:val="21"/>
          <w:szCs w:val="21"/>
          <w:shd w:val="clear" w:color="auto" w:fill="FFFFFF"/>
        </w:rPr>
        <w:t xml:space="preserve">(D) </w:t>
      </w:r>
      <w:r>
        <w:rPr>
          <w:rFonts w:ascii="Arial" w:hAnsi="Arial" w:eastAsia="Cambria" w:cs="Arial"/>
          <w:sz w:val="21"/>
          <w:szCs w:val="21"/>
          <w:shd w:val="clear" w:color="auto" w:fill="FFFFFF"/>
        </w:rPr>
        <w:t>Principal Component Analysis (PCA) of untargeted metabolomics data among the three groups.</w:t>
      </w:r>
    </w:p>
    <w:p w14:paraId="51C28D25">
      <w:pPr>
        <w:spacing w:line="480" w:lineRule="auto"/>
        <w:jc w:val="both"/>
        <w:rPr>
          <w:rFonts w:ascii="Times New Roman" w:hAnsi="Times New Roman" w:eastAsia="Cambria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drawing>
          <wp:inline distT="0" distB="0" distL="0" distR="0">
            <wp:extent cx="5274310" cy="6517640"/>
            <wp:effectExtent l="0" t="0" r="8890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Cambria" w:cs="Arial"/>
          <w:b/>
          <w:bCs/>
          <w:sz w:val="21"/>
          <w:szCs w:val="21"/>
          <w:shd w:val="clear" w:color="auto" w:fill="FFFFFF"/>
        </w:rPr>
        <w:t>Fig. S3</w:t>
      </w:r>
      <w:r>
        <w:rPr>
          <w:rFonts w:ascii="Arial" w:hAnsi="Arial" w:eastAsia="Cambria" w:cs="Arial"/>
          <w:sz w:val="21"/>
          <w:szCs w:val="21"/>
          <w:shd w:val="clear" w:color="auto" w:fill="FFFFFF"/>
        </w:rPr>
        <w:t xml:space="preserve"> Transcript profiling of the serum deprived from the HCs, ACOP, DEACMP-N, and DEACMP group, the results of PCA model. </w:t>
      </w:r>
      <w:r>
        <w:rPr>
          <w:rFonts w:ascii="Arial" w:hAnsi="Arial" w:eastAsia="Cambria" w:cs="Arial"/>
          <w:b/>
          <w:bCs/>
          <w:sz w:val="21"/>
          <w:szCs w:val="21"/>
          <w:shd w:val="clear" w:color="auto" w:fill="FFFFFF"/>
        </w:rPr>
        <w:t xml:space="preserve">(A) </w:t>
      </w:r>
      <w:r>
        <w:rPr>
          <w:rFonts w:ascii="Arial" w:hAnsi="Arial" w:eastAsia="Cambria" w:cs="Arial"/>
          <w:sz w:val="21"/>
          <w:szCs w:val="21"/>
          <w:shd w:val="clear" w:color="auto" w:fill="FFFFFF"/>
        </w:rPr>
        <w:t xml:space="preserve">the results of PCA model. </w:t>
      </w:r>
      <w:r>
        <w:rPr>
          <w:rFonts w:ascii="Arial" w:hAnsi="Arial" w:eastAsia="Cambria" w:cs="Arial"/>
          <w:b/>
          <w:bCs/>
          <w:sz w:val="21"/>
          <w:szCs w:val="21"/>
          <w:shd w:val="clear" w:color="auto" w:fill="FFFFFF"/>
        </w:rPr>
        <w:t xml:space="preserve">(B) </w:t>
      </w:r>
      <w:r>
        <w:rPr>
          <w:rFonts w:ascii="Arial" w:hAnsi="Arial" w:eastAsia="Cambria" w:cs="Arial"/>
          <w:sz w:val="21"/>
          <w:szCs w:val="21"/>
          <w:shd w:val="clear" w:color="auto" w:fill="FFFFFF"/>
        </w:rPr>
        <w:t xml:space="preserve">The numbers of differentially expressed RNAs between the four groups. </w:t>
      </w:r>
      <w:r>
        <w:rPr>
          <w:rFonts w:ascii="Arial" w:hAnsi="Arial" w:eastAsia="Cambria" w:cs="Arial"/>
          <w:b/>
          <w:bCs/>
          <w:sz w:val="21"/>
          <w:szCs w:val="21"/>
          <w:shd w:val="clear" w:color="auto" w:fill="FFFFFF"/>
        </w:rPr>
        <w:t>(C-F)</w:t>
      </w:r>
      <w:r>
        <w:rPr>
          <w:rFonts w:ascii="Arial" w:hAnsi="Arial" w:eastAsia="Cambria" w:cs="Arial"/>
          <w:sz w:val="21"/>
          <w:szCs w:val="21"/>
          <w:shd w:val="clear" w:color="auto" w:fill="FFFFFF"/>
        </w:rPr>
        <w:t xml:space="preserve"> Top 10 altered canonical enriched GO pathways between the four groups.</w:t>
      </w:r>
    </w:p>
    <w:p w14:paraId="2FADB728">
      <w:pPr>
        <w:spacing w:line="48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drawing>
          <wp:inline distT="0" distB="0" distL="0" distR="0">
            <wp:extent cx="3060065" cy="2249170"/>
            <wp:effectExtent l="0" t="0" r="635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856E5">
      <w:pPr>
        <w:spacing w:line="480" w:lineRule="auto"/>
        <w:jc w:val="both"/>
        <w:rPr>
          <w:rFonts w:ascii="Arial" w:hAnsi="Arial" w:eastAsia="宋体" w:cs="Arial"/>
          <w:sz w:val="18"/>
          <w:szCs w:val="18"/>
        </w:rPr>
      </w:pPr>
      <w:r>
        <w:rPr>
          <w:rFonts w:ascii="Arial" w:hAnsi="Arial" w:eastAsia="宋体" w:cs="Arial"/>
          <w:b/>
          <w:bCs/>
          <w:sz w:val="21"/>
          <w:szCs w:val="21"/>
        </w:rPr>
        <w:t>Fig. S4</w:t>
      </w:r>
      <w:r>
        <w:rPr>
          <w:rFonts w:ascii="Arial" w:hAnsi="Arial" w:eastAsia="Cambria" w:cs="Arial"/>
          <w:sz w:val="21"/>
          <w:szCs w:val="21"/>
          <w:shd w:val="clear" w:color="auto" w:fill="FFFFFF"/>
        </w:rPr>
        <w:t xml:space="preserve"> Behavioral performance in MWM test (n = 10 in each group). (A) Arterial blood O2Hb concentration of rats in four groups.</w:t>
      </w:r>
    </w:p>
    <w:p w14:paraId="760A4F1A">
      <w:pPr>
        <w:snapToGrid w:val="0"/>
        <w:spacing w:after="0" w:line="480" w:lineRule="auto"/>
        <w:jc w:val="both"/>
        <w:rPr>
          <w:rFonts w:ascii="Times New Roman" w:hAnsi="Times New Roman" w:eastAsia="Calibri Light" w:cs="Times New Roman"/>
          <w:sz w:val="21"/>
          <w:szCs w:val="21"/>
          <w:lang w:bidi="ar"/>
        </w:rPr>
      </w:pPr>
      <w:r>
        <w:rPr>
          <w:rFonts w:ascii="Times New Roman" w:hAnsi="Times New Roman" w:eastAsia="Calibri Light" w:cs="Times New Roman"/>
          <w:b/>
          <w:bCs/>
          <w:sz w:val="21"/>
          <w:szCs w:val="21"/>
          <w:lang w:bidi="ar"/>
        </w:rPr>
        <w:t>Table</w:t>
      </w:r>
      <w:r>
        <w:rPr>
          <w:rFonts w:hint="eastAsia" w:ascii="Times New Roman" w:hAnsi="Times New Roman" w:eastAsia="Calibri Light" w:cs="Times New Roman"/>
          <w:b/>
          <w:bCs/>
          <w:sz w:val="21"/>
          <w:szCs w:val="21"/>
          <w:lang w:bidi="ar"/>
        </w:rPr>
        <w:t xml:space="preserve"> </w:t>
      </w:r>
      <w:r>
        <w:rPr>
          <w:rFonts w:ascii="Times New Roman" w:hAnsi="Times New Roman" w:eastAsia="Calibri Light" w:cs="Times New Roman"/>
          <w:b/>
          <w:bCs/>
          <w:sz w:val="21"/>
          <w:szCs w:val="21"/>
          <w:lang w:bidi="ar"/>
        </w:rPr>
        <w:t>S1</w:t>
      </w:r>
      <w:r>
        <w:rPr>
          <w:rFonts w:ascii="Times New Roman" w:hAnsi="Times New Roman" w:eastAsia="Calibri Light" w:cs="Times New Roman"/>
          <w:sz w:val="21"/>
          <w:szCs w:val="21"/>
          <w:lang w:bidi="ar"/>
        </w:rPr>
        <w:t xml:space="preserve"> Statistics of differential metabolites for different group</w:t>
      </w:r>
    </w:p>
    <w:tbl>
      <w:tblPr>
        <w:tblStyle w:val="2"/>
        <w:tblpPr w:leftFromText="180" w:rightFromText="180" w:vertAnchor="text" w:horzAnchor="margin" w:tblpY="251"/>
        <w:tblW w:w="467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2332"/>
        <w:gridCol w:w="2341"/>
        <w:gridCol w:w="1126"/>
        <w:gridCol w:w="992"/>
      </w:tblGrid>
      <w:tr w14:paraId="18048B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899654">
            <w:pPr>
              <w:snapToGrid w:val="0"/>
              <w:spacing w:after="0" w:line="480" w:lineRule="auto"/>
              <w:jc w:val="left"/>
              <w:rPr>
                <w:rFonts w:ascii="Times New Roman" w:hAnsi="Times New Roman" w:eastAsia="Calibri Light" w:cs="Times New Roman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Calibri Light" w:cs="Times New Roman"/>
                <w:b/>
                <w:bCs/>
                <w:sz w:val="21"/>
                <w:szCs w:val="21"/>
                <w:lang w:bidi="ar"/>
              </w:rPr>
              <w:t>Mode</w:t>
            </w:r>
          </w:p>
        </w:tc>
        <w:tc>
          <w:tcPr>
            <w:tcW w:w="14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58CDFD">
            <w:pPr>
              <w:snapToGrid w:val="0"/>
              <w:spacing w:after="0" w:line="480" w:lineRule="auto"/>
              <w:jc w:val="left"/>
              <w:rPr>
                <w:rFonts w:ascii="Times New Roman" w:hAnsi="Times New Roman" w:eastAsia="Calibri Light" w:cs="Times New Roman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Calibri Light" w:cs="Times New Roman"/>
                <w:b/>
                <w:bCs/>
                <w:sz w:val="21"/>
                <w:szCs w:val="21"/>
                <w:lang w:bidi="ar"/>
              </w:rPr>
              <w:t>Group</w:t>
            </w:r>
          </w:p>
        </w:tc>
        <w:tc>
          <w:tcPr>
            <w:tcW w:w="14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B3308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Calibri Light" w:cs="Times New Roman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Calibri Light" w:cs="Times New Roman"/>
                <w:b/>
                <w:bCs/>
                <w:sz w:val="21"/>
                <w:szCs w:val="21"/>
                <w:lang w:bidi="ar"/>
              </w:rPr>
              <w:t>Total number of differential metabolites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5AA3C8">
            <w:pPr>
              <w:snapToGrid w:val="0"/>
              <w:spacing w:after="0" w:line="480" w:lineRule="auto"/>
              <w:jc w:val="left"/>
              <w:rPr>
                <w:rFonts w:ascii="Times New Roman" w:hAnsi="Times New Roman" w:eastAsia="Calibri Light" w:cs="Times New Roman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Calibri Light" w:cs="Times New Roman"/>
                <w:b/>
                <w:bCs/>
                <w:sz w:val="21"/>
                <w:szCs w:val="21"/>
                <w:lang w:bidi="ar"/>
              </w:rPr>
              <w:t>up</w:t>
            </w:r>
          </w:p>
        </w:tc>
        <w:tc>
          <w:tcPr>
            <w:tcW w:w="6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4A1496">
            <w:pPr>
              <w:snapToGrid w:val="0"/>
              <w:spacing w:after="0" w:line="480" w:lineRule="auto"/>
              <w:jc w:val="left"/>
              <w:rPr>
                <w:rFonts w:ascii="Times New Roman" w:hAnsi="Times New Roman" w:eastAsia="Calibri Light" w:cs="Times New Roman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Calibri Light" w:cs="Times New Roman"/>
                <w:b/>
                <w:bCs/>
                <w:sz w:val="21"/>
                <w:szCs w:val="21"/>
                <w:lang w:bidi="ar"/>
              </w:rPr>
              <w:t>down</w:t>
            </w:r>
          </w:p>
        </w:tc>
      </w:tr>
      <w:tr w14:paraId="7EB82C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6EFC69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pos</w:t>
            </w:r>
          </w:p>
        </w:tc>
        <w:tc>
          <w:tcPr>
            <w:tcW w:w="146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60118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AC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O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 vs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HCs </w:t>
            </w:r>
          </w:p>
        </w:tc>
        <w:tc>
          <w:tcPr>
            <w:tcW w:w="14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4AAFF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50BD3B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6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78789E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</w:p>
        </w:tc>
      </w:tr>
      <w:tr w14:paraId="1705C0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8A18D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pos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A913D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AC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O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 vs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AC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O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P-CT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2A41C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E7C91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FDC1EE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</w:p>
        </w:tc>
      </w:tr>
      <w:tr w14:paraId="0F171A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A463B2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pos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918261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AC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O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P-CT vs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HCs 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36720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D8370D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4D472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</w:tr>
      <w:tr w14:paraId="67FEB0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69B249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neg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94407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AC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O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 vs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HCs 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E3B282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409A1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324E9D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</w:tr>
      <w:tr w14:paraId="542CD7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D48B65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neg</w:t>
            </w: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46B7E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AC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O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 vs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AC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O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P-CT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CBDC2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986E0E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2D9DD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</w:tr>
      <w:tr w14:paraId="21FFA6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75E43EE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neg</w:t>
            </w:r>
          </w:p>
        </w:tc>
        <w:tc>
          <w:tcPr>
            <w:tcW w:w="14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660F779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AC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O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 xml:space="preserve">-CT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vs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HCs </w:t>
            </w:r>
          </w:p>
        </w:tc>
        <w:tc>
          <w:tcPr>
            <w:tcW w:w="14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102BA04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0A71C38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6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5F27858">
            <w:pPr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</w:tr>
    </w:tbl>
    <w:p w14:paraId="679BCC1C">
      <w:pPr>
        <w:spacing w:line="480" w:lineRule="auto"/>
        <w:jc w:val="both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p w14:paraId="442D465B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hMTQxMzA2MTU3OTg2MWRmZmI2MWIxNWQxMGIwZTgifQ=="/>
  </w:docVars>
  <w:rsids>
    <w:rsidRoot w:val="00000000"/>
    <w:rsid w:val="1A3E6F6D"/>
    <w:rsid w:val="341D7D55"/>
    <w:rsid w:val="49DC63A7"/>
    <w:rsid w:val="6DD616F3"/>
    <w:rsid w:val="78AA19FF"/>
    <w:rsid w:val="7BBC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2024-10-21T12:22:23Z</dcterms:created>
  <dc:creator>李金兰</dc:creator>
  <cp:lastModifiedBy>渊</cp:lastModifiedBy>
  <dcterms:modified xsi:type="dcterms:W3CDTF">2024-10-21T12:26:04Z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E063F0423FAA4F4FB69E7E5190484936_12</vt:lpwstr>
  </property>
</Properties>
</file>