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9A7248" w14:textId="77777777" w:rsidR="00125248" w:rsidRPr="007F4C89" w:rsidRDefault="00125248" w:rsidP="00125248">
      <w:pPr>
        <w:spacing w:line="480" w:lineRule="auto"/>
        <w:jc w:val="both"/>
        <w:rPr>
          <w:b/>
          <w:bCs/>
          <w:u w:val="single"/>
        </w:rPr>
      </w:pPr>
      <w:r w:rsidRPr="007F4C89">
        <w:rPr>
          <w:b/>
          <w:bCs/>
          <w:u w:val="single"/>
        </w:rPr>
        <w:t>Supplementary</w:t>
      </w:r>
    </w:p>
    <w:p w14:paraId="071F23F4" w14:textId="77777777" w:rsidR="00125248" w:rsidRDefault="00125248" w:rsidP="00125248">
      <w:pPr>
        <w:spacing w:line="480" w:lineRule="auto"/>
        <w:jc w:val="both"/>
        <w:rPr>
          <w:b/>
          <w:bCs/>
        </w:rPr>
      </w:pPr>
      <w:r w:rsidRPr="00D14E5C">
        <w:rPr>
          <w:b/>
          <w:bCs/>
          <w:noProof/>
        </w:rPr>
        <w:drawing>
          <wp:inline distT="0" distB="0" distL="0" distR="0" wp14:anchorId="39475104" wp14:editId="7FFBE2D6">
            <wp:extent cx="5943600" cy="4482465"/>
            <wp:effectExtent l="0" t="0" r="0" b="635"/>
            <wp:docPr id="1750234378" name="Picture 1" descr="A graph with red line and blu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234378" name="Picture 1" descr="A graph with red line and blue dots&#10;&#10;Description automatically generated"/>
                    <pic:cNvPicPr/>
                  </pic:nvPicPr>
                  <pic:blipFill>
                    <a:blip r:embed="rId4"/>
                    <a:stretch>
                      <a:fillRect/>
                    </a:stretch>
                  </pic:blipFill>
                  <pic:spPr>
                    <a:xfrm>
                      <a:off x="0" y="0"/>
                      <a:ext cx="5943600" cy="4482465"/>
                    </a:xfrm>
                    <a:prstGeom prst="rect">
                      <a:avLst/>
                    </a:prstGeom>
                  </pic:spPr>
                </pic:pic>
              </a:graphicData>
            </a:graphic>
          </wp:inline>
        </w:drawing>
      </w:r>
    </w:p>
    <w:p w14:paraId="50B2FB6A" w14:textId="77777777" w:rsidR="00125248" w:rsidRDefault="00125248" w:rsidP="00125248">
      <w:pPr>
        <w:spacing w:line="480" w:lineRule="auto"/>
        <w:jc w:val="both"/>
      </w:pPr>
      <w:r>
        <w:rPr>
          <w:b/>
          <w:bCs/>
        </w:rPr>
        <w:t xml:space="preserve">Figure S1: </w:t>
      </w:r>
      <w:r>
        <w:t>Final ten year mean of AMOC transport at 26ºN caused by increasing Greenland freshwater discharge from 1000Gt/yr to 5000 Gt/yr (G1-G5) Note that the black dot is the Control. A linear regression through the means gives an R</w:t>
      </w:r>
      <w:r>
        <w:rPr>
          <w:vertAlign w:val="superscript"/>
        </w:rPr>
        <w:t>2</w:t>
      </w:r>
      <w:r>
        <w:t xml:space="preserve">=0.97. </w:t>
      </w:r>
    </w:p>
    <w:p w14:paraId="7D63FF0D" w14:textId="77777777" w:rsidR="00125248" w:rsidRDefault="00125248" w:rsidP="00125248">
      <w:pPr>
        <w:spacing w:line="480" w:lineRule="auto"/>
        <w:jc w:val="both"/>
      </w:pPr>
    </w:p>
    <w:p w14:paraId="003C84FF" w14:textId="77777777" w:rsidR="00125248" w:rsidRDefault="00125248" w:rsidP="00125248">
      <w:pPr>
        <w:spacing w:line="480" w:lineRule="auto"/>
        <w:jc w:val="both"/>
      </w:pPr>
    </w:p>
    <w:p w14:paraId="2CC6D413" w14:textId="77777777" w:rsidR="00125248" w:rsidRPr="00101A5E" w:rsidRDefault="00125248" w:rsidP="00125248">
      <w:pPr>
        <w:spacing w:line="480" w:lineRule="auto"/>
        <w:jc w:val="both"/>
      </w:pPr>
      <w:r>
        <w:rPr>
          <w:noProof/>
          <w14:ligatures w14:val="standardContextual"/>
        </w:rPr>
        <w:lastRenderedPageBreak/>
        <mc:AlternateContent>
          <mc:Choice Requires="wps">
            <w:drawing>
              <wp:anchor distT="0" distB="0" distL="114300" distR="114300" simplePos="0" relativeHeight="251661312" behindDoc="0" locked="0" layoutInCell="1" allowOverlap="1" wp14:anchorId="7D3A2A84" wp14:editId="3B7E170B">
                <wp:simplePos x="0" y="0"/>
                <wp:positionH relativeFrom="column">
                  <wp:posOffset>1956846</wp:posOffset>
                </wp:positionH>
                <wp:positionV relativeFrom="paragraph">
                  <wp:posOffset>3569559</wp:posOffset>
                </wp:positionV>
                <wp:extent cx="7596660" cy="2364699"/>
                <wp:effectExtent l="0" t="0" r="0" b="0"/>
                <wp:wrapNone/>
                <wp:docPr id="282246357" name="Text Box 6"/>
                <wp:cNvGraphicFramePr/>
                <a:graphic xmlns:a="http://schemas.openxmlformats.org/drawingml/2006/main">
                  <a:graphicData uri="http://schemas.microsoft.com/office/word/2010/wordprocessingShape">
                    <wps:wsp>
                      <wps:cNvSpPr txBox="1"/>
                      <wps:spPr>
                        <a:xfrm rot="16200000">
                          <a:off x="0" y="0"/>
                          <a:ext cx="7596660" cy="2364699"/>
                        </a:xfrm>
                        <a:prstGeom prst="rect">
                          <a:avLst/>
                        </a:prstGeom>
                        <a:solidFill>
                          <a:schemeClr val="lt1"/>
                        </a:solidFill>
                        <a:ln w="6350">
                          <a:noFill/>
                        </a:ln>
                      </wps:spPr>
                      <wps:txbx>
                        <w:txbxContent>
                          <w:p w14:paraId="2320FDE3" w14:textId="77777777" w:rsidR="00125248" w:rsidRDefault="00125248" w:rsidP="00125248">
                            <w:pPr>
                              <w:spacing w:line="480" w:lineRule="auto"/>
                              <w:jc w:val="both"/>
                            </w:pPr>
                            <w:r>
                              <w:rPr>
                                <w:b/>
                                <w:bCs/>
                              </w:rPr>
                              <w:t xml:space="preserve">Figure S2: </w:t>
                            </w:r>
                            <w:r>
                              <w:t>Panels a-b: 10 year rolling mean of global mean Sea Surface Temperature. Pannel a: Simulations with increasing Greenland FWF at 1000Gt/yr, G0-G5 (1-5000Gt/yr) holding Antarctic FWF off. Pannel b: simulations holding Greenland FWF constant at 3000Gt/yr (G3) and increasing Antarctic FW at 1000Gt/yr, A0-A5 (1-5000Gt/yr). Panels c and d:</w:t>
                            </w:r>
                            <w:r w:rsidRPr="002E4D8A">
                              <w:t xml:space="preserve"> </w:t>
                            </w:r>
                            <w:r>
                              <w:t>Final ten year mean of global mean SST for a/b respectively, a linear regression through the means yields an R</w:t>
                            </w:r>
                            <w:r>
                              <w:rPr>
                                <w:vertAlign w:val="superscript"/>
                              </w:rPr>
                              <w:t>2</w:t>
                            </w:r>
                            <w:r>
                              <w:t>=0.93 /0.06, note the shared x axis and A0G0 is the mean of the Control.</w:t>
                            </w:r>
                          </w:p>
                          <w:p w14:paraId="43B8BC11" w14:textId="77777777" w:rsidR="00125248" w:rsidRDefault="00125248" w:rsidP="0012524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3A2A84" id="_x0000_t202" coordsize="21600,21600" o:spt="202" path="m,l,21600r21600,l21600,xe">
                <v:stroke joinstyle="miter"/>
                <v:path gradientshapeok="t" o:connecttype="rect"/>
              </v:shapetype>
              <v:shape id="Text Box 6" o:spid="_x0000_s1026" type="#_x0000_t202" style="position:absolute;left:0;text-align:left;margin-left:154.1pt;margin-top:281.05pt;width:598.15pt;height:186.2pt;rotation:-9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" fillcolor="white [3201]" stroked="f" strokeweight=".5pt">
                <v:textbox>
                  <w:txbxContent>
                    <w:p w14:paraId="2320FDE3" w14:textId="77777777" w:rsidR="00125248" w:rsidRDefault="00125248" w:rsidP="00125248">
                      <w:pPr>
                        <w:spacing w:line="480" w:lineRule="auto"/>
                        <w:jc w:val="both"/>
                      </w:pPr>
                      <w:r>
                        <w:rPr>
                          <w:b/>
                          <w:bCs/>
                        </w:rPr>
                        <w:t xml:space="preserve">Figure S2: </w:t>
                      </w:r>
                      <w:r>
                        <w:t>Panels a-b: 10 year rolling mean of global mean Sea Surface Temperature. Pannel a: Simulations with increasing Greenland FWF at 1000Gt/yr, G0-G5 (1-5000Gt/yr) holding Antarctic FWF off. Pannel b: simulations holding Greenland FWF constant at 3000Gt/yr (G3) and increasing Antarctic FW at 1000Gt/yr, A0-A5 (1-5000Gt/yr). Panels c and d:</w:t>
                      </w:r>
                      <w:r w:rsidRPr="002E4D8A">
                        <w:t xml:space="preserve"> </w:t>
                      </w:r>
                      <w:r>
                        <w:t>Final ten year mean of global mean SST for a/b respectively, a linear regression through the means yields an R</w:t>
                      </w:r>
                      <w:r>
                        <w:rPr>
                          <w:vertAlign w:val="superscript"/>
                        </w:rPr>
                        <w:t>2</w:t>
                      </w:r>
                      <w:r>
                        <w:t>=0.93 /0.06, note the shared x axis and A0G0 is the mean of the Control.</w:t>
                      </w:r>
                    </w:p>
                    <w:p w14:paraId="43B8BC11" w14:textId="77777777" w:rsidR="00125248" w:rsidRDefault="00125248" w:rsidP="00125248"/>
                  </w:txbxContent>
                </v:textbox>
              </v:shape>
            </w:pict>
          </mc:Fallback>
        </mc:AlternateContent>
      </w:r>
      <w:r w:rsidRPr="00654460">
        <w:rPr>
          <w:noProof/>
        </w:rPr>
        <w:drawing>
          <wp:inline distT="0" distB="0" distL="0" distR="0" wp14:anchorId="6F46DC08" wp14:editId="0C741359">
            <wp:extent cx="8918385" cy="4462052"/>
            <wp:effectExtent l="5715" t="0" r="3175" b="3175"/>
            <wp:docPr id="332846233" name="Picture 1" descr="A group of graphs with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846233" name="Picture 1" descr="A group of graphs with different colored lines&#10;&#10;Description automatically generated"/>
                    <pic:cNvPicPr/>
                  </pic:nvPicPr>
                  <pic:blipFill>
                    <a:blip r:embed="rId5"/>
                    <a:stretch>
                      <a:fillRect/>
                    </a:stretch>
                  </pic:blipFill>
                  <pic:spPr>
                    <a:xfrm rot="16200000">
                      <a:off x="0" y="0"/>
                      <a:ext cx="8943012" cy="4474373"/>
                    </a:xfrm>
                    <a:prstGeom prst="rect">
                      <a:avLst/>
                    </a:prstGeom>
                  </pic:spPr>
                </pic:pic>
              </a:graphicData>
            </a:graphic>
          </wp:inline>
        </w:drawing>
      </w:r>
    </w:p>
    <w:p w14:paraId="62C2A189" w14:textId="77777777" w:rsidR="00125248" w:rsidRDefault="00125248" w:rsidP="00125248">
      <w:pPr>
        <w:spacing w:line="480" w:lineRule="auto"/>
        <w:jc w:val="both"/>
      </w:pPr>
      <w:r>
        <w:rPr>
          <w:noProof/>
          <w14:ligatures w14:val="standardContextual"/>
        </w:rPr>
        <w:lastRenderedPageBreak/>
        <mc:AlternateContent>
          <mc:Choice Requires="wps">
            <w:drawing>
              <wp:anchor distT="0" distB="0" distL="114300" distR="114300" simplePos="0" relativeHeight="251659264" behindDoc="0" locked="0" layoutInCell="1" allowOverlap="1" wp14:anchorId="5C16FB4C" wp14:editId="78B374C3">
                <wp:simplePos x="0" y="0"/>
                <wp:positionH relativeFrom="column">
                  <wp:posOffset>811750</wp:posOffset>
                </wp:positionH>
                <wp:positionV relativeFrom="paragraph">
                  <wp:posOffset>3311011</wp:posOffset>
                </wp:positionV>
                <wp:extent cx="7608824" cy="1886673"/>
                <wp:effectExtent l="3492" t="0" r="2223" b="2222"/>
                <wp:wrapNone/>
                <wp:docPr id="1138310084" name="Text Box 4"/>
                <wp:cNvGraphicFramePr/>
                <a:graphic xmlns:a="http://schemas.openxmlformats.org/drawingml/2006/main">
                  <a:graphicData uri="http://schemas.microsoft.com/office/word/2010/wordprocessingShape">
                    <wps:wsp>
                      <wps:cNvSpPr txBox="1"/>
                      <wps:spPr>
                        <a:xfrm rot="16200000">
                          <a:off x="0" y="0"/>
                          <a:ext cx="7608824" cy="1886673"/>
                        </a:xfrm>
                        <a:prstGeom prst="rect">
                          <a:avLst/>
                        </a:prstGeom>
                        <a:solidFill>
                          <a:schemeClr val="lt1"/>
                        </a:solidFill>
                        <a:ln w="6350">
                          <a:noFill/>
                        </a:ln>
                      </wps:spPr>
                      <wps:txbx>
                        <w:txbxContent>
                          <w:p w14:paraId="08FD9385" w14:textId="77777777" w:rsidR="00125248" w:rsidRPr="00E77567" w:rsidRDefault="00125248" w:rsidP="00125248">
                            <w:pPr>
                              <w:spacing w:line="480" w:lineRule="auto"/>
                              <w:jc w:val="both"/>
                              <w:rPr>
                                <w:b/>
                                <w:bCs/>
                              </w:rPr>
                            </w:pPr>
                            <w:r w:rsidRPr="00CF2790">
                              <w:rPr>
                                <w:b/>
                                <w:bCs/>
                              </w:rPr>
                              <w:t>Figure S</w:t>
                            </w:r>
                            <w:r>
                              <w:rPr>
                                <w:b/>
                                <w:bCs/>
                              </w:rPr>
                              <w:t>3</w:t>
                            </w:r>
                            <w:r w:rsidRPr="00CF2790">
                              <w:rPr>
                                <w:b/>
                                <w:bCs/>
                              </w:rPr>
                              <w:t xml:space="preserve">: </w:t>
                            </w:r>
                            <w:r>
                              <w:t>Average salinity anomaly plots of simulations found in figure 1. Pannels A-D) effect of increasing Greenland fresh water forcing at intervals of 1000Gt/yr (G1-5) whilst Antarctic forcing is off (A0). Pannels E-I) Holding Antarctic forcing constant at 5000 Gt/yr (A5) and increasing Greenland forcing from 0-5000Gt/yr (G0-5).</w:t>
                            </w:r>
                            <w:r w:rsidRPr="00F67BC2">
                              <w:t xml:space="preserve"> </w:t>
                            </w:r>
                            <w:r>
                              <w:t xml:space="preserve">Pannels E-H) AMOC remains stable in spite of forcing. Pannels J and K) holding Greenland forcing constant at 3000Gt/yr (G3) and increasing Antarctic forcing from 3000-4000Gt/yr (A3-4). Pannel L) Control simulation. </w:t>
                            </w:r>
                          </w:p>
                          <w:p w14:paraId="031111B6" w14:textId="77777777" w:rsidR="00125248" w:rsidRPr="00E72E88" w:rsidRDefault="00125248" w:rsidP="0012524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C16FB4C" id="Text Box 4" o:spid="_x0000_s1027" type="#_x0000_t202" style="position:absolute;left:0;text-align:left;margin-left:63.9pt;margin-top:260.7pt;width:599.1pt;height:148.55pt;rotation:-90;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" fillcolor="white [3201]" stroked="f" strokeweight=".5pt">
                <v:textbox>
                  <w:txbxContent>
                    <w:p w14:paraId="08FD9385" w14:textId="77777777" w:rsidR="00125248" w:rsidRPr="00E77567" w:rsidRDefault="00125248" w:rsidP="00125248">
                      <w:pPr>
                        <w:spacing w:line="480" w:lineRule="auto"/>
                        <w:jc w:val="both"/>
                        <w:rPr>
                          <w:b/>
                          <w:bCs/>
                        </w:rPr>
                      </w:pPr>
                      <w:r w:rsidRPr="00CF2790">
                        <w:rPr>
                          <w:b/>
                          <w:bCs/>
                        </w:rPr>
                        <w:t>Figure S</w:t>
                      </w:r>
                      <w:r>
                        <w:rPr>
                          <w:b/>
                          <w:bCs/>
                        </w:rPr>
                        <w:t>3</w:t>
                      </w:r>
                      <w:r w:rsidRPr="00CF2790">
                        <w:rPr>
                          <w:b/>
                          <w:bCs/>
                        </w:rPr>
                        <w:t xml:space="preserve">: </w:t>
                      </w:r>
                      <w:r>
                        <w:t>Average salinity anomaly plots of simulations found in figure 1. Pannels A-D) effect of increasing Greenland fresh water forcing at intervals of 1000Gt/yr (G1-5) whilst Antarctic forcing is off (A0). Pannels E-I) Holding Antarctic forcing constant at 5000 Gt/yr (A5) and increasing Greenland forcing from 0-5000Gt/yr (G0-5).</w:t>
                      </w:r>
                      <w:r w:rsidRPr="00F67BC2">
                        <w:t xml:space="preserve"> </w:t>
                      </w:r>
                      <w:r>
                        <w:t xml:space="preserve">Pannels E-H) AMOC remains stable in spite of forcing. Pannels J and K) holding Greenland forcing constant at 3000Gt/yr (G3) and increasing Antarctic forcing from 3000-4000Gt/yr (A3-4). Pannel L) Control simulation. </w:t>
                      </w:r>
                    </w:p>
                    <w:p w14:paraId="031111B6" w14:textId="77777777" w:rsidR="00125248" w:rsidRPr="00E72E88" w:rsidRDefault="00125248" w:rsidP="00125248"/>
                  </w:txbxContent>
                </v:textbox>
              </v:shape>
            </w:pict>
          </mc:Fallback>
        </mc:AlternateContent>
      </w:r>
      <w:r w:rsidRPr="007C1F02">
        <w:rPr>
          <w:noProof/>
          <w14:ligatures w14:val="standardContextual"/>
        </w:rPr>
        <w:t xml:space="preserve"> </w:t>
      </w:r>
      <w:r w:rsidRPr="00896DEA">
        <w:rPr>
          <w:noProof/>
          <w14:ligatures w14:val="standardContextual"/>
        </w:rPr>
        <w:drawing>
          <wp:inline distT="0" distB="0" distL="0" distR="0" wp14:anchorId="17935B19" wp14:editId="0B1A841C">
            <wp:extent cx="8988405" cy="3314955"/>
            <wp:effectExtent l="4445" t="0" r="0" b="0"/>
            <wp:docPr id="1112705040" name="Picture 1" descr="A group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705040" name="Picture 1" descr="A group of images of different colors&#10;&#10;Description automatically generated"/>
                    <pic:cNvPicPr/>
                  </pic:nvPicPr>
                  <pic:blipFill>
                    <a:blip r:embed="rId6"/>
                    <a:stretch>
                      <a:fillRect/>
                    </a:stretch>
                  </pic:blipFill>
                  <pic:spPr>
                    <a:xfrm rot="16200000">
                      <a:off x="0" y="0"/>
                      <a:ext cx="9051942" cy="3338388"/>
                    </a:xfrm>
                    <a:prstGeom prst="rect">
                      <a:avLst/>
                    </a:prstGeom>
                  </pic:spPr>
                </pic:pic>
              </a:graphicData>
            </a:graphic>
          </wp:inline>
        </w:drawing>
      </w:r>
    </w:p>
    <w:p w14:paraId="5FBBFBAE" w14:textId="77777777" w:rsidR="00125248" w:rsidRDefault="00125248" w:rsidP="00125248">
      <w:pPr>
        <w:spacing w:line="480" w:lineRule="auto"/>
        <w:jc w:val="both"/>
      </w:pPr>
      <w:r>
        <w:rPr>
          <w:noProof/>
          <w14:ligatures w14:val="standardContextual"/>
        </w:rPr>
        <w:lastRenderedPageBreak/>
        <mc:AlternateContent>
          <mc:Choice Requires="wps">
            <w:drawing>
              <wp:anchor distT="0" distB="0" distL="114300" distR="114300" simplePos="0" relativeHeight="251660288" behindDoc="0" locked="0" layoutInCell="1" allowOverlap="1" wp14:anchorId="134AD83A" wp14:editId="3955E96F">
                <wp:simplePos x="0" y="0"/>
                <wp:positionH relativeFrom="column">
                  <wp:posOffset>1595213</wp:posOffset>
                </wp:positionH>
                <wp:positionV relativeFrom="paragraph">
                  <wp:posOffset>3171620</wp:posOffset>
                </wp:positionV>
                <wp:extent cx="7391970" cy="2025377"/>
                <wp:effectExtent l="3492" t="0" r="3493" b="3492"/>
                <wp:wrapNone/>
                <wp:docPr id="1006183734" name="Text Box 5"/>
                <wp:cNvGraphicFramePr/>
                <a:graphic xmlns:a="http://schemas.openxmlformats.org/drawingml/2006/main">
                  <a:graphicData uri="http://schemas.microsoft.com/office/word/2010/wordprocessingShape">
                    <wps:wsp>
                      <wps:cNvSpPr txBox="1"/>
                      <wps:spPr>
                        <a:xfrm rot="16200000">
                          <a:off x="0" y="0"/>
                          <a:ext cx="7391970" cy="2025377"/>
                        </a:xfrm>
                        <a:prstGeom prst="rect">
                          <a:avLst/>
                        </a:prstGeom>
                        <a:solidFill>
                          <a:schemeClr val="bg1"/>
                        </a:solidFill>
                        <a:ln w="6350">
                          <a:noFill/>
                        </a:ln>
                      </wps:spPr>
                      <wps:txbx>
                        <w:txbxContent>
                          <w:p w14:paraId="1AE28C41" w14:textId="77777777" w:rsidR="00125248" w:rsidRPr="00AD59D2" w:rsidRDefault="00125248" w:rsidP="00125248">
                            <w:pPr>
                              <w:spacing w:line="480" w:lineRule="auto"/>
                              <w:jc w:val="both"/>
                              <w:rPr>
                                <w:b/>
                                <w:bCs/>
                              </w:rPr>
                            </w:pPr>
                            <w:r>
                              <w:rPr>
                                <w:b/>
                                <w:bCs/>
                              </w:rPr>
                              <w:t xml:space="preserve">Figure S4: </w:t>
                            </w:r>
                            <w:r>
                              <w:t>Pannel a and b: 10 year rolling mean of Northern Hemisphere mean Sea Surface Temperature (SST). Pannel a: Simulations increasing Greenland FWF by 1000Gt/yr, G0-G5 (1-5000Gt/yr) holding Antarctic FW off. Pannel b: simulations holding Greenland constant at 3000Gt/yr (G3) and increasing Antarctic FWF at 1000Gt/yr, A0-A5 (1-5000Gt/yr). Panels c and d:</w:t>
                            </w:r>
                            <w:r w:rsidRPr="002E4D8A">
                              <w:t xml:space="preserve"> </w:t>
                            </w:r>
                            <w:r>
                              <w:t>Final ten year mean of Northern Hemisphere mean SST for a/b respectively, a linear regression through the means yields an R</w:t>
                            </w:r>
                            <w:r>
                              <w:rPr>
                                <w:vertAlign w:val="superscript"/>
                              </w:rPr>
                              <w:t>2</w:t>
                            </w:r>
                            <w:r>
                              <w:t>=0.95 /0.29.</w:t>
                            </w:r>
                          </w:p>
                          <w:p w14:paraId="002B5EB4" w14:textId="77777777" w:rsidR="00125248" w:rsidRDefault="00125248" w:rsidP="0012524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4AD83A" id="Text Box 5" o:spid="_x0000_s1028" type="#_x0000_t202" style="position:absolute;left:0;text-align:left;margin-left:125.6pt;margin-top:249.75pt;width:582.05pt;height:159.5pt;rotation:-9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" fillcolor="white [3212]" stroked="f" strokeweight=".5pt">
                <v:textbox>
                  <w:txbxContent>
                    <w:p w14:paraId="1AE28C41" w14:textId="77777777" w:rsidR="00125248" w:rsidRPr="00AD59D2" w:rsidRDefault="00125248" w:rsidP="00125248">
                      <w:pPr>
                        <w:spacing w:line="480" w:lineRule="auto"/>
                        <w:jc w:val="both"/>
                        <w:rPr>
                          <w:b/>
                          <w:bCs/>
                        </w:rPr>
                      </w:pPr>
                      <w:r>
                        <w:rPr>
                          <w:b/>
                          <w:bCs/>
                        </w:rPr>
                        <w:t xml:space="preserve">Figure S4: </w:t>
                      </w:r>
                      <w:r>
                        <w:t>Pannel a and b: 10 year rolling mean of Northern Hemisphere mean Sea Surface Temperature (SST). Pannel a: Simulations increasing Greenland FWF by 1000Gt/yr, G0-G5 (1-5000Gt/yr) holding Antarctic FW off. Pannel b: simulations holding Greenland constant at 3000Gt/yr (G3) and increasing Antarctic FWF at 1000Gt/yr, A0-A5 (1-5000Gt/yr). Panels c and d:</w:t>
                      </w:r>
                      <w:r w:rsidRPr="002E4D8A">
                        <w:t xml:space="preserve"> </w:t>
                      </w:r>
                      <w:r>
                        <w:t>Final ten year mean of Northern Hemisphere mean SST for a/b respectively, a linear regression through the means yields an R</w:t>
                      </w:r>
                      <w:r>
                        <w:rPr>
                          <w:vertAlign w:val="superscript"/>
                        </w:rPr>
                        <w:t>2</w:t>
                      </w:r>
                      <w:r>
                        <w:t>=0.95 /0.29.</w:t>
                      </w:r>
                    </w:p>
                    <w:p w14:paraId="002B5EB4" w14:textId="77777777" w:rsidR="00125248" w:rsidRDefault="00125248" w:rsidP="00125248"/>
                  </w:txbxContent>
                </v:textbox>
              </v:shape>
            </w:pict>
          </mc:Fallback>
        </mc:AlternateContent>
      </w:r>
      <w:r w:rsidRPr="00E36207">
        <w:rPr>
          <w:noProof/>
        </w:rPr>
        <w:drawing>
          <wp:inline distT="0" distB="0" distL="0" distR="0" wp14:anchorId="2FE9224A" wp14:editId="1DD537FE">
            <wp:extent cx="7729450" cy="3830867"/>
            <wp:effectExtent l="6350" t="0" r="0" b="0"/>
            <wp:docPr id="161070020" name="Picture 1" descr="A group of graphs with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70020" name="Picture 1" descr="A group of graphs with different colored lines&#10;&#10;Description automatically generated"/>
                    <pic:cNvPicPr/>
                  </pic:nvPicPr>
                  <pic:blipFill>
                    <a:blip r:embed="rId7"/>
                    <a:stretch>
                      <a:fillRect/>
                    </a:stretch>
                  </pic:blipFill>
                  <pic:spPr>
                    <a:xfrm rot="16200000">
                      <a:off x="0" y="0"/>
                      <a:ext cx="7772007" cy="3851959"/>
                    </a:xfrm>
                    <a:prstGeom prst="rect">
                      <a:avLst/>
                    </a:prstGeom>
                  </pic:spPr>
                </pic:pic>
              </a:graphicData>
            </a:graphic>
          </wp:inline>
        </w:drawing>
      </w:r>
    </w:p>
    <w:p w14:paraId="49B3262A" w14:textId="77777777" w:rsidR="00125248" w:rsidRPr="00267227" w:rsidRDefault="00125248" w:rsidP="00125248">
      <w:pPr>
        <w:spacing w:line="480" w:lineRule="auto"/>
        <w:jc w:val="both"/>
      </w:pPr>
      <w:r>
        <w:rPr>
          <w:noProof/>
          <w14:ligatures w14:val="standardContextual"/>
        </w:rPr>
        <w:lastRenderedPageBreak/>
        <mc:AlternateContent>
          <mc:Choice Requires="wps">
            <w:drawing>
              <wp:anchor distT="0" distB="0" distL="114300" distR="114300" simplePos="0" relativeHeight="251662336" behindDoc="0" locked="0" layoutInCell="1" allowOverlap="1" wp14:anchorId="17D1CD37" wp14:editId="66BA6476">
                <wp:simplePos x="0" y="0"/>
                <wp:positionH relativeFrom="column">
                  <wp:posOffset>-713740</wp:posOffset>
                </wp:positionH>
                <wp:positionV relativeFrom="paragraph">
                  <wp:posOffset>3561924</wp:posOffset>
                </wp:positionV>
                <wp:extent cx="7391400" cy="1042416"/>
                <wp:effectExtent l="0" t="0" r="0" b="0"/>
                <wp:wrapNone/>
                <wp:docPr id="1578515258" name="Text Box 5"/>
                <wp:cNvGraphicFramePr/>
                <a:graphic xmlns:a="http://schemas.openxmlformats.org/drawingml/2006/main">
                  <a:graphicData uri="http://schemas.microsoft.com/office/word/2010/wordprocessingShape">
                    <wps:wsp>
                      <wps:cNvSpPr/>
                      <wps:spPr>
                        <a:xfrm>
                          <a:off x="0" y="0"/>
                          <a:ext cx="7391400" cy="1042416"/>
                        </a:xfrm>
                        <a:prstGeom prst="rect">
                          <a:avLst/>
                        </a:prstGeom>
                        <a:noFill/>
                        <a:ln w="6350">
                          <a:noFill/>
                        </a:ln>
                      </wps:spPr>
                      <wps:txbx>
                        <w:txbxContent>
                          <w:p w14:paraId="218A433E" w14:textId="77777777" w:rsidR="00125248" w:rsidRPr="00CF2790" w:rsidRDefault="00125248" w:rsidP="00125248">
                            <w:pPr>
                              <w:spacing w:line="480" w:lineRule="auto"/>
                              <w:jc w:val="both"/>
                              <w:rPr>
                                <w:b/>
                                <w:bCs/>
                              </w:rPr>
                            </w:pPr>
                            <w:r w:rsidRPr="00CF2790">
                              <w:rPr>
                                <w:b/>
                                <w:bCs/>
                              </w:rPr>
                              <w:t xml:space="preserve">Figure S5: </w:t>
                            </w:r>
                            <w:r w:rsidRPr="00CF2790">
                              <w:t>Weighted inputs of our maximum fresh water forcing (FWF) of 5000Gt/yr (0.16sv) for both Greenland (a) and Antarctica (b).</w:t>
                            </w:r>
                          </w:p>
                          <w:p w14:paraId="50426316" w14:textId="77777777" w:rsidR="00125248" w:rsidRDefault="00125248" w:rsidP="00125248">
                            <w:pPr>
                              <w:spacing w:line="254" w:lineRule="auto"/>
                              <w:rPr>
                                <w:rFonts w:ascii="Calibri" w:hAnsi="Calibri" w:cs="Calibri"/>
                              </w:rPr>
                            </w:pPr>
                            <w:r>
                              <w:rPr>
                                <w:rFonts w:ascii="Calibri" w:hAnsi="Calibri" w:cs="Calibri"/>
                              </w:rPr>
                              <w:t> </w:t>
                            </w:r>
                          </w:p>
                        </w:txbxContent>
                      </wps:txbx>
                      <wps:bodyPr spcFirstLastPara="0" wrap="square" lIns="91440" tIns="45720" rIns="91440" bIns="45720" anchor="t">
                        <a:noAutofit/>
                      </wps:bodyPr>
                    </wps:wsp>
                  </a:graphicData>
                </a:graphic>
                <wp14:sizeRelH relativeFrom="margin">
                  <wp14:pctWidth>0</wp14:pctWidth>
                </wp14:sizeRelH>
                <wp14:sizeRelV relativeFrom="margin">
                  <wp14:pctHeight>0</wp14:pctHeight>
                </wp14:sizeRelV>
              </wp:anchor>
            </w:drawing>
          </mc:Choice>
          <mc:Fallback>
            <w:pict>
              <v:rect w14:anchorId="17D1CD37" id="_x0000_s1029" style="position:absolute;left:0;text-align:left;margin-left:-56.2pt;margin-top:280.45pt;width:582pt;height:82.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" filled="f" stroked="f" strokeweight=".5pt">
                <v:textbox>
                  <w:txbxContent>
                    <w:p w14:paraId="218A433E" w14:textId="77777777" w:rsidR="00125248" w:rsidRPr="00CF2790" w:rsidRDefault="00125248" w:rsidP="00125248">
                      <w:pPr>
                        <w:spacing w:line="480" w:lineRule="auto"/>
                        <w:jc w:val="both"/>
                        <w:rPr>
                          <w:b/>
                          <w:bCs/>
                        </w:rPr>
                      </w:pPr>
                      <w:r w:rsidRPr="00CF2790">
                        <w:rPr>
                          <w:b/>
                          <w:bCs/>
                        </w:rPr>
                        <w:t xml:space="preserve">Figure S5: </w:t>
                      </w:r>
                      <w:r w:rsidRPr="00CF2790">
                        <w:t>Weighted inputs of our maximum fresh water forcing (FWF) of 5000Gt/yr (0.16sv) for both Greenland (a) and Antarctica (b).</w:t>
                      </w:r>
                    </w:p>
                    <w:p w14:paraId="50426316" w14:textId="77777777" w:rsidR="00125248" w:rsidRDefault="00125248" w:rsidP="00125248">
                      <w:pPr>
                        <w:spacing w:line="254" w:lineRule="auto"/>
                        <w:rPr>
                          <w:rFonts w:ascii="Calibri" w:hAnsi="Calibri" w:cs="Calibri"/>
                        </w:rPr>
                      </w:pPr>
                      <w:r>
                        <w:rPr>
                          <w:rFonts w:ascii="Calibri" w:hAnsi="Calibri" w:cs="Calibri"/>
                        </w:rPr>
                        <w:t> </w:t>
                      </w:r>
                    </w:p>
                  </w:txbxContent>
                </v:textbox>
              </v:rect>
            </w:pict>
          </mc:Fallback>
        </mc:AlternateContent>
      </w:r>
      <w:r w:rsidRPr="00137061">
        <w:rPr>
          <w:noProof/>
        </w:rPr>
        <w:drawing>
          <wp:inline distT="0" distB="0" distL="0" distR="0" wp14:anchorId="17ACE686" wp14:editId="5F146C7C">
            <wp:extent cx="5943600" cy="3343275"/>
            <wp:effectExtent l="0" t="0" r="0" b="0"/>
            <wp:docPr id="14007847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784796" name=""/>
                    <pic:cNvPicPr/>
                  </pic:nvPicPr>
                  <pic:blipFill>
                    <a:blip r:embed="rId8"/>
                    <a:stretch>
                      <a:fillRect/>
                    </a:stretch>
                  </pic:blipFill>
                  <pic:spPr>
                    <a:xfrm>
                      <a:off x="0" y="0"/>
                      <a:ext cx="5943600" cy="3343275"/>
                    </a:xfrm>
                    <a:prstGeom prst="rect">
                      <a:avLst/>
                    </a:prstGeom>
                  </pic:spPr>
                </pic:pic>
              </a:graphicData>
            </a:graphic>
          </wp:inline>
        </w:drawing>
      </w:r>
    </w:p>
    <w:p w14:paraId="78CBFEEF" w14:textId="77777777" w:rsidR="00125248" w:rsidRDefault="00125248" w:rsidP="00125248">
      <w:r>
        <w:rPr>
          <w:noProof/>
          <w14:ligatures w14:val="standardContextual"/>
        </w:rPr>
        <w:lastRenderedPageBreak/>
        <mc:AlternateContent>
          <mc:Choice Requires="wps">
            <w:drawing>
              <wp:anchor distT="0" distB="0" distL="114300" distR="114300" simplePos="0" relativeHeight="251664384" behindDoc="0" locked="0" layoutInCell="1" allowOverlap="1" wp14:anchorId="2D92A7AA" wp14:editId="6E36FDB2">
                <wp:simplePos x="0" y="0"/>
                <wp:positionH relativeFrom="column">
                  <wp:posOffset>769585</wp:posOffset>
                </wp:positionH>
                <wp:positionV relativeFrom="paragraph">
                  <wp:posOffset>3205052</wp:posOffset>
                </wp:positionV>
                <wp:extent cx="7613724" cy="2259307"/>
                <wp:effectExtent l="0" t="0" r="0" b="0"/>
                <wp:wrapNone/>
                <wp:docPr id="1986360310" name="Text Box 5"/>
                <wp:cNvGraphicFramePr/>
                <a:graphic xmlns:a="http://schemas.openxmlformats.org/drawingml/2006/main">
                  <a:graphicData uri="http://schemas.microsoft.com/office/word/2010/wordprocessingShape">
                    <wps:wsp>
                      <wps:cNvSpPr/>
                      <wps:spPr>
                        <a:xfrm rot="16200000">
                          <a:off x="0" y="0"/>
                          <a:ext cx="7613724" cy="2259307"/>
                        </a:xfrm>
                        <a:prstGeom prst="rect">
                          <a:avLst/>
                        </a:prstGeom>
                        <a:noFill/>
                        <a:ln w="6350">
                          <a:noFill/>
                        </a:ln>
                      </wps:spPr>
                      <wps:txbx>
                        <w:txbxContent>
                          <w:p w14:paraId="39600D52" w14:textId="77777777" w:rsidR="00125248" w:rsidRPr="00E77567" w:rsidRDefault="00125248" w:rsidP="00125248">
                            <w:pPr>
                              <w:spacing w:line="480" w:lineRule="auto"/>
                              <w:jc w:val="both"/>
                              <w:rPr>
                                <w:b/>
                                <w:bCs/>
                              </w:rPr>
                            </w:pPr>
                            <w:r w:rsidRPr="00CF2790">
                              <w:rPr>
                                <w:b/>
                                <w:bCs/>
                              </w:rPr>
                              <w:t>Figure S</w:t>
                            </w:r>
                            <w:r>
                              <w:rPr>
                                <w:b/>
                                <w:bCs/>
                              </w:rPr>
                              <w:t>6</w:t>
                            </w:r>
                            <w:r w:rsidRPr="00CF2790">
                              <w:rPr>
                                <w:b/>
                                <w:bCs/>
                              </w:rPr>
                              <w:t xml:space="preserve">: </w:t>
                            </w:r>
                            <w:r>
                              <w:t xml:space="preserve">Potential temperature anomaly plots of simulations found in figure 1. Pannels A-D) effect of increasing Greenland fresh water forcing at intervals of 1000Gt/yr (G1-5) whilst Antarctic forcing is off (A0). Pannels E-I) Holding Antarctic forcing constant at 5000 Gt/yr (A5) and increasing Greenland forcing from 0-5000Gt/yr (G0-5). Pannels E-H) AMOC remains stable despite forcing. Pannels J and K) holding Greenland forcing constant at 3000Gt/yr (G3) and increasing Antarctic forcing from 3000-4000Gt/yr (A3-4). Pannel L) Control simulation. </w:t>
                            </w:r>
                          </w:p>
                        </w:txbxContent>
                      </wps:txbx>
                      <wps:bodyPr spcFirstLastPara="0" wrap="square" lIns="91440" tIns="45720" rIns="91440" bIns="45720" anchor="t">
                        <a:noAutofit/>
                      </wps:bodyPr>
                    </wps:wsp>
                  </a:graphicData>
                </a:graphic>
                <wp14:sizeRelH relativeFrom="margin">
                  <wp14:pctWidth>0</wp14:pctWidth>
                </wp14:sizeRelH>
                <wp14:sizeRelV relativeFrom="margin">
                  <wp14:pctHeight>0</wp14:pctHeight>
                </wp14:sizeRelV>
              </wp:anchor>
            </w:drawing>
          </mc:Choice>
          <mc:Fallback>
            <w:pict>
              <v:rect w14:anchorId="2D92A7AA" id="_x0000_s1030" style="position:absolute;margin-left:60.6pt;margin-top:252.35pt;width:599.5pt;height:177.9pt;rotation:-9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" filled="f" stroked="f" strokeweight=".5pt">
                <v:textbox>
                  <w:txbxContent>
                    <w:p w14:paraId="39600D52" w14:textId="77777777" w:rsidR="00125248" w:rsidRPr="00E77567" w:rsidRDefault="00125248" w:rsidP="00125248">
                      <w:pPr>
                        <w:spacing w:line="480" w:lineRule="auto"/>
                        <w:jc w:val="both"/>
                        <w:rPr>
                          <w:b/>
                          <w:bCs/>
                        </w:rPr>
                      </w:pPr>
                      <w:r w:rsidRPr="00CF2790">
                        <w:rPr>
                          <w:b/>
                          <w:bCs/>
                        </w:rPr>
                        <w:t>Figure S</w:t>
                      </w:r>
                      <w:r>
                        <w:rPr>
                          <w:b/>
                          <w:bCs/>
                        </w:rPr>
                        <w:t>6</w:t>
                      </w:r>
                      <w:r w:rsidRPr="00CF2790">
                        <w:rPr>
                          <w:b/>
                          <w:bCs/>
                        </w:rPr>
                        <w:t xml:space="preserve">: </w:t>
                      </w:r>
                      <w:r>
                        <w:t xml:space="preserve">Potential temperature anomaly plots of simulations found in figure 1. Pannels A-D) effect of increasing Greenland fresh water forcing at intervals of 1000Gt/yr (G1-5) whilst Antarctic forcing is off (A0). Pannels E-I) Holding Antarctic forcing constant at 5000 Gt/yr (A5) and increasing Greenland forcing from 0-5000Gt/yr (G0-5). Pannels E-H) AMOC remains stable despite forcing. Pannels J and K) holding Greenland forcing constant at 3000Gt/yr (G3) and increasing Antarctic forcing from 3000-4000Gt/yr (A3-4). Pannel L) Control simulation. </w:t>
                      </w:r>
                    </w:p>
                  </w:txbxContent>
                </v:textbox>
              </v:rect>
            </w:pict>
          </mc:Fallback>
        </mc:AlternateContent>
      </w:r>
      <w:r w:rsidRPr="005C3DED">
        <w:rPr>
          <w:noProof/>
        </w:rPr>
        <w:drawing>
          <wp:inline distT="0" distB="0" distL="0" distR="0" wp14:anchorId="4EAF86CE" wp14:editId="3ED37177">
            <wp:extent cx="8850329" cy="3281997"/>
            <wp:effectExtent l="2858" t="0" r="4762" b="4763"/>
            <wp:docPr id="1603059104" name="Picture 1"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059104" name="Picture 1" descr="A screenshot of a computer generated image&#10;&#10;Description automatically generated"/>
                    <pic:cNvPicPr/>
                  </pic:nvPicPr>
                  <pic:blipFill>
                    <a:blip r:embed="rId9"/>
                    <a:stretch>
                      <a:fillRect/>
                    </a:stretch>
                  </pic:blipFill>
                  <pic:spPr>
                    <a:xfrm rot="16200000">
                      <a:off x="0" y="0"/>
                      <a:ext cx="8877179" cy="3291954"/>
                    </a:xfrm>
                    <a:prstGeom prst="rect">
                      <a:avLst/>
                    </a:prstGeom>
                  </pic:spPr>
                </pic:pic>
              </a:graphicData>
            </a:graphic>
          </wp:inline>
        </w:drawing>
      </w:r>
    </w:p>
    <w:p w14:paraId="45000352" w14:textId="77777777" w:rsidR="00125248" w:rsidRPr="0030738A" w:rsidRDefault="00125248" w:rsidP="00125248">
      <w:r>
        <w:rPr>
          <w:b/>
          <w:bCs/>
          <w:noProof/>
          <w:u w:val="single"/>
        </w:rPr>
        <w:lastRenderedPageBreak/>
        <w:t xml:space="preserve">Table of input freshwater values from current literature </w:t>
      </w:r>
    </w:p>
    <w:tbl>
      <w:tblPr>
        <w:tblStyle w:val="GridTable1Light"/>
        <w:tblW w:w="9781" w:type="dxa"/>
        <w:tblInd w:w="-147" w:type="dxa"/>
        <w:tblLook w:val="04A0" w:firstRow="1" w:lastRow="0" w:firstColumn="1" w:lastColumn="0" w:noHBand="0" w:noVBand="1"/>
      </w:tblPr>
      <w:tblGrid>
        <w:gridCol w:w="3119"/>
        <w:gridCol w:w="1924"/>
        <w:gridCol w:w="1909"/>
        <w:gridCol w:w="1412"/>
        <w:gridCol w:w="1417"/>
      </w:tblGrid>
      <w:tr w:rsidR="00125248" w14:paraId="13DC8F4F" w14:textId="77777777" w:rsidTr="00BB29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2C8C3B3B" w14:textId="77777777" w:rsidR="00125248" w:rsidRDefault="00125248" w:rsidP="00BB294B">
            <w:r>
              <w:t>Paper</w:t>
            </w:r>
          </w:p>
        </w:tc>
        <w:tc>
          <w:tcPr>
            <w:tcW w:w="1924" w:type="dxa"/>
          </w:tcPr>
          <w:p w14:paraId="1AC90321" w14:textId="77777777" w:rsidR="00125248" w:rsidRDefault="00125248" w:rsidP="00BB294B">
            <w:pPr>
              <w:jc w:val="center"/>
              <w:cnfStyle w:val="100000000000" w:firstRow="1" w:lastRow="0" w:firstColumn="0" w:lastColumn="0" w:oddVBand="0" w:evenVBand="0" w:oddHBand="0" w:evenHBand="0" w:firstRowFirstColumn="0" w:firstRowLastColumn="0" w:lastRowFirstColumn="0" w:lastRowLastColumn="0"/>
            </w:pPr>
            <w:r>
              <w:t>Min AIS [Gt/yr]</w:t>
            </w:r>
          </w:p>
        </w:tc>
        <w:tc>
          <w:tcPr>
            <w:tcW w:w="1909" w:type="dxa"/>
          </w:tcPr>
          <w:p w14:paraId="2C89C169" w14:textId="77777777" w:rsidR="00125248" w:rsidRDefault="00125248" w:rsidP="00BB294B">
            <w:pPr>
              <w:jc w:val="center"/>
              <w:cnfStyle w:val="100000000000" w:firstRow="1" w:lastRow="0" w:firstColumn="0" w:lastColumn="0" w:oddVBand="0" w:evenVBand="0" w:oddHBand="0" w:evenHBand="0" w:firstRowFirstColumn="0" w:firstRowLastColumn="0" w:lastRowFirstColumn="0" w:lastRowLastColumn="0"/>
            </w:pPr>
            <w:r>
              <w:t>Max AIS</w:t>
            </w:r>
          </w:p>
        </w:tc>
        <w:tc>
          <w:tcPr>
            <w:tcW w:w="1412" w:type="dxa"/>
          </w:tcPr>
          <w:p w14:paraId="3BCDAA5E" w14:textId="77777777" w:rsidR="00125248" w:rsidRDefault="00125248" w:rsidP="00BB294B">
            <w:pPr>
              <w:jc w:val="center"/>
              <w:cnfStyle w:val="100000000000" w:firstRow="1" w:lastRow="0" w:firstColumn="0" w:lastColumn="0" w:oddVBand="0" w:evenVBand="0" w:oddHBand="0" w:evenHBand="0" w:firstRowFirstColumn="0" w:firstRowLastColumn="0" w:lastRowFirstColumn="0" w:lastRowLastColumn="0"/>
            </w:pPr>
            <w:r>
              <w:t>Min GIS</w:t>
            </w:r>
          </w:p>
        </w:tc>
        <w:tc>
          <w:tcPr>
            <w:tcW w:w="1417" w:type="dxa"/>
          </w:tcPr>
          <w:p w14:paraId="5C0DAE17" w14:textId="77777777" w:rsidR="00125248" w:rsidRDefault="00125248" w:rsidP="00BB294B">
            <w:pPr>
              <w:jc w:val="center"/>
              <w:cnfStyle w:val="100000000000" w:firstRow="1" w:lastRow="0" w:firstColumn="0" w:lastColumn="0" w:oddVBand="0" w:evenVBand="0" w:oddHBand="0" w:evenHBand="0" w:firstRowFirstColumn="0" w:firstRowLastColumn="0" w:lastRowFirstColumn="0" w:lastRowLastColumn="0"/>
            </w:pPr>
            <w:r>
              <w:t>Max GIS</w:t>
            </w:r>
          </w:p>
        </w:tc>
      </w:tr>
      <w:tr w:rsidR="00125248" w14:paraId="654DBA28" w14:textId="77777777" w:rsidTr="00BB294B">
        <w:tc>
          <w:tcPr>
            <w:cnfStyle w:val="001000000000" w:firstRow="0" w:lastRow="0" w:firstColumn="1" w:lastColumn="0" w:oddVBand="0" w:evenVBand="0" w:oddHBand="0" w:evenHBand="0" w:firstRowFirstColumn="0" w:firstRowLastColumn="0" w:lastRowFirstColumn="0" w:lastRowLastColumn="0"/>
            <w:tcW w:w="3119" w:type="dxa"/>
          </w:tcPr>
          <w:p w14:paraId="0F729335" w14:textId="77777777" w:rsidR="00125248" w:rsidRDefault="00125248" w:rsidP="00BB294B">
            <w:r>
              <w:t>Bintanja et. al 2013</w:t>
            </w:r>
            <w:r>
              <w:fldChar w:fldCharType="begin"/>
            </w:r>
            <w:r>
              <w:instrText xml:space="preserve"> ADDIN ZOTERO_ITEM CSL_CITATION {"citationID":"Tvpk5IIW","properties":{"formattedCitation":"\\super 22\\nosupersub{}","plainCitation":"22","noteIndex":0},"citationItems":[{"id":341,"uris":["http://zotero.org/users/10940351/items/LZD4EA67"],"itemData":{"id":341,"type":"article-journal","abstract":"In sharp contrast to events in the Arctic region, sea ice surrounding Antarctica has expanded slightly in the past few years. A combination of observations and climate model simulations suggests that cooling of the surface ocean by meltwater from the Antarctic ice shelves has contributed significantly to this sea ice expansion.","container-title":"Nature Geoscience","DOI":"10.1038/ngeo1767","ISSN":"1752-0908","issue":"5","journalAbbreviation":"Nature Geoscience","page":"376-379","title":"Important role for ocean warming and increased ice-shelf melt in Antarctic sea-ice expansion","volume":"6","author":[{"family":"Bintanja","given":"R."},{"family":"Oldenborgh","given":"G. J.","non-dropping-particle":"van"},{"family":"Drijfhout","given":"S. S."},{"family":"Wouters","given":"B."},{"family":"Katsman","given":"C. A."}],"issued":{"date-parts":[["2013",5,1]]}}}],"schema":"https://github.com/citation-style-language/schema/raw/master/csl-citation.json"} </w:instrText>
            </w:r>
            <w:r>
              <w:fldChar w:fldCharType="separate"/>
            </w:r>
            <w:r w:rsidRPr="00625A2A">
              <w:rPr>
                <w:vertAlign w:val="superscript"/>
              </w:rPr>
              <w:t>22</w:t>
            </w:r>
            <w:r>
              <w:fldChar w:fldCharType="end"/>
            </w:r>
          </w:p>
        </w:tc>
        <w:tc>
          <w:tcPr>
            <w:tcW w:w="1924" w:type="dxa"/>
          </w:tcPr>
          <w:p w14:paraId="39861300"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w:t>
            </w:r>
          </w:p>
        </w:tc>
        <w:tc>
          <w:tcPr>
            <w:tcW w:w="1909" w:type="dxa"/>
          </w:tcPr>
          <w:p w14:paraId="6793AA0F"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2650</w:t>
            </w:r>
          </w:p>
        </w:tc>
        <w:tc>
          <w:tcPr>
            <w:tcW w:w="1412" w:type="dxa"/>
          </w:tcPr>
          <w:p w14:paraId="26EFF118"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w:t>
            </w:r>
          </w:p>
        </w:tc>
        <w:tc>
          <w:tcPr>
            <w:tcW w:w="1417" w:type="dxa"/>
          </w:tcPr>
          <w:p w14:paraId="5E00F1EB"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w:t>
            </w:r>
          </w:p>
        </w:tc>
      </w:tr>
      <w:tr w:rsidR="00125248" w14:paraId="251C5F6E" w14:textId="77777777" w:rsidTr="00BB294B">
        <w:tc>
          <w:tcPr>
            <w:cnfStyle w:val="001000000000" w:firstRow="0" w:lastRow="0" w:firstColumn="1" w:lastColumn="0" w:oddVBand="0" w:evenVBand="0" w:oddHBand="0" w:evenHBand="0" w:firstRowFirstColumn="0" w:firstRowLastColumn="0" w:lastRowFirstColumn="0" w:lastRowLastColumn="0"/>
            <w:tcW w:w="3119" w:type="dxa"/>
          </w:tcPr>
          <w:p w14:paraId="71EB7F0C" w14:textId="77777777" w:rsidR="00125248" w:rsidRDefault="00125248" w:rsidP="00BB294B">
            <w:r>
              <w:t>Muntjewerf 2020</w:t>
            </w:r>
            <w:r>
              <w:fldChar w:fldCharType="begin"/>
            </w:r>
            <w:r>
              <w:instrText xml:space="preserve"> ADDIN ZOTERO_ITEM CSL_CITATION {"citationID":"LD3SXr9D","properties":{"formattedCitation":"\\super 7\\nosupersub{}","plainCitation":"7","noteIndex":0},"citationItems":[{"id":233,"uris":["http://zotero.org/users/10940351/items/PHS9YDKQ"],"itemData":{"id":233,"type":"article-journal","abstract":"Abstract The Greenland ice sheet (GrIS) is now losing mass at a rate of 0.7 mm of sea level rise (SLR) per year. Here we explore future GrIS evolution and interactions with global and regional climate under high greenhouse gas forcing with the Community Earth System Model version 2.1 (CESM2.1), which includes an interactive ice sheet component (the Community Ice Sheet Model v2.1 [CISM2.1]) and an advanced energy balance-based calculation of surface melt. We run an idealized 350-year scenario in which atmospheric CO2 concentration increases by 1% annually until reaching four times pre-industrial values at year 140, after which it is held fixed. The global mean temperature increases by 5.2 and 8.5 K by years 131–150 and 331–350, respectively. The projected GrIS contribution to global mean SLR is 107 mm by year 150 and 1,140 mm by year 350. The rate of SLR increases from 2 mm yr−1 at year 150 to almost 7 mm yr−1 by year 350. The accelerated mass loss is caused by rapidly increasing surface melt as the ablation area expands, with associated albedo feedback and increased sensible and latent heat fluxes. This acceleration occurs for a global warming of approximately 4.2 K with respect to pre-industrial and is in part explained by the quasi-parabolic shape of the ice sheet, which favors rapid expansion of the ablation area as it approaches the interior “plateau.”","container-title":"Journal of Advances in Modeling Earth Systems","DOI":"https://doi.org/10.1029/2019MS002031","issue":"10","note":"_eprint: https://agupubs.onlinelibrary.wiley.com/doi/pdf/10.1029/2019MS002031","page":"e2019MS002031","title":"Accelerated Greenland Ice Sheet Mass Loss Under High Greenhouse Gas Forcing as Simulated by the Coupled CESM2.1-CISM2.1","volume":"12","author":[{"family":"Muntjewerf","given":"Laura"},{"family":"Sellevold","given":"Raymond"},{"family":"Vizcaino","given":"Miren"},{"family":"Ernani da Silva","given":"Carolina"},{"family":"Petrini","given":"Michele"},{"family":"Thayer-Calder","given":"Katherine"},{"family":"Scherrenberg","given":"Meike D. W."},{"family":"Bradley","given":"Sarah L."},{"family":"Katsman","given":"Caroline A."},{"family":"Fyke","given":"Jeremy"},{"family":"Lipscomb","given":"William H."},{"family":"Lofverstrom","given":"Marcus"},{"family":"Sacks","given":"William J."}],"issued":{"date-parts":[["2020"]]}}}],"schema":"https://github.com/citation-style-language/schema/raw/master/csl-citation.json"} </w:instrText>
            </w:r>
            <w:r>
              <w:fldChar w:fldCharType="separate"/>
            </w:r>
            <w:r w:rsidRPr="00625A2A">
              <w:rPr>
                <w:vertAlign w:val="superscript"/>
              </w:rPr>
              <w:t>7</w:t>
            </w:r>
            <w:r>
              <w:fldChar w:fldCharType="end"/>
            </w:r>
          </w:p>
        </w:tc>
        <w:tc>
          <w:tcPr>
            <w:tcW w:w="1924" w:type="dxa"/>
          </w:tcPr>
          <w:p w14:paraId="7275EC7D"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w:t>
            </w:r>
          </w:p>
        </w:tc>
        <w:tc>
          <w:tcPr>
            <w:tcW w:w="1909" w:type="dxa"/>
          </w:tcPr>
          <w:p w14:paraId="30FE5E70"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w:t>
            </w:r>
          </w:p>
        </w:tc>
        <w:tc>
          <w:tcPr>
            <w:tcW w:w="1412" w:type="dxa"/>
          </w:tcPr>
          <w:p w14:paraId="2979BF3D"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712</w:t>
            </w:r>
          </w:p>
        </w:tc>
        <w:tc>
          <w:tcPr>
            <w:tcW w:w="1417" w:type="dxa"/>
          </w:tcPr>
          <w:p w14:paraId="3EAA44C0"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2492</w:t>
            </w:r>
          </w:p>
        </w:tc>
      </w:tr>
      <w:tr w:rsidR="00125248" w14:paraId="07C37A66" w14:textId="77777777" w:rsidTr="00BB294B">
        <w:tc>
          <w:tcPr>
            <w:cnfStyle w:val="001000000000" w:firstRow="0" w:lastRow="0" w:firstColumn="1" w:lastColumn="0" w:oddVBand="0" w:evenVBand="0" w:oddHBand="0" w:evenHBand="0" w:firstRowFirstColumn="0" w:firstRowLastColumn="0" w:lastRowFirstColumn="0" w:lastRowLastColumn="0"/>
            <w:tcW w:w="3119" w:type="dxa"/>
          </w:tcPr>
          <w:p w14:paraId="4C85C518" w14:textId="77777777" w:rsidR="00125248" w:rsidRDefault="00125248" w:rsidP="00BB294B">
            <w:r>
              <w:t>Seroussi et. al 2020</w:t>
            </w:r>
            <w:r>
              <w:fldChar w:fldCharType="begin"/>
            </w:r>
            <w:r>
              <w:instrText xml:space="preserve"> ADDIN ZOTERO_ITEM CSL_CITATION {"citationID":"sOiqijpb","properties":{"formattedCitation":"\\super 31\\nosupersub{}","plainCitation":"31","noteIndex":0},"citationItems":[{"id":53,"uris":["http://zotero.org/users/10940351/items/KEGM4CZD"],"itemData":{"id":53,"type":"article-journal","container-title":"The Cryosphere","DOI":"10.5194/tc-14-3033-2020","issue":"9","page":"3033–3070","title":"ISMIP6 Antarctica: a multi-model ensemble of the Antarctic ice sheet evolution over the 21st century","volume":"14","author":[{"family":"Seroussi","given":"H."},{"family":"Nowicki","given":"S."},{"family":"Payne","given":"A. J."},{"family":"Goelzer","given":"H."},{"family":"Lipscomb","given":"W. H."},{"family":"Abe-Ouchi","given":"A."},{"family":"Agosta","given":"C."},{"family":"Albrecht","given":"T."},{"family":"Asay-Davis","given":"X."},{"family":"Barthel","given":"A."},{"family":"Calov","given":"R."},{"family":"Cullather","given":"R."},{"family":"Dumas","given":"C."},{"family":"Galton-Fenzi","given":"B. K."},{"family":"Gladstone","given":"R."},{"family":"Golledge","given":"N. R."},{"family":"Gregory","given":"J. M."},{"family":"Greve","given":"R."},{"family":"Hattermann","given":"T."},{"family":"Hoffman","given":"M. J."},{"family":"Humbert","given":"A."},{"family":"Huybrechts","given":"P."},{"family":"Jourdain","given":"N. C."},{"family":"Kleiner","given":"T."},{"family":"Larour","given":"E."},{"family":"Leguy","given":"G. R."},{"family":"Lowry","given":"D. P."},{"family":"Little","given":"C. M."},{"family":"Morlighem","given":"M."},{"family":"Pattyn","given":"F."},{"family":"Pelle","given":"T."},{"family":"Price","given":"S. F."},{"family":"Quiquet","given":"A."},{"family":"Reese","given":"R."},{"family":"Schlegel","given":"N.-J."},{"family":"Shepherd","given":"A."},{"family":"Simon","given":"E."},{"family":"Smith","given":"R. S."},{"family":"Straneo","given":"F."},{"family":"Sun","given":"S."},{"family":"Trusel","given":"L. D."},{"family":"Van Breedam","given":"J."},{"family":"Wal","given":"R. S. W.","non-dropping-particle":"van de"},{"family":"Winkelmann","given":"R."},{"family":"Zhao","given":"C."},{"family":"Zhang","given":"T."},{"family":"Zwinger","given":"T."}],"issued":{"date-parts":[["2020"]]}}}],"schema":"https://github.com/citation-style-language/schema/raw/master/csl-citation.json"} </w:instrText>
            </w:r>
            <w:r>
              <w:fldChar w:fldCharType="separate"/>
            </w:r>
            <w:r w:rsidRPr="0005156D">
              <w:rPr>
                <w:vertAlign w:val="superscript"/>
              </w:rPr>
              <w:t>31</w:t>
            </w:r>
            <w:r>
              <w:fldChar w:fldCharType="end"/>
            </w:r>
          </w:p>
        </w:tc>
        <w:tc>
          <w:tcPr>
            <w:tcW w:w="1924" w:type="dxa"/>
          </w:tcPr>
          <w:p w14:paraId="42E70428"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-381</w:t>
            </w:r>
          </w:p>
        </w:tc>
        <w:tc>
          <w:tcPr>
            <w:tcW w:w="1909" w:type="dxa"/>
          </w:tcPr>
          <w:p w14:paraId="33975596"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1323</w:t>
            </w:r>
          </w:p>
        </w:tc>
        <w:tc>
          <w:tcPr>
            <w:tcW w:w="1412" w:type="dxa"/>
          </w:tcPr>
          <w:p w14:paraId="4FBB3A47"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w:t>
            </w:r>
          </w:p>
        </w:tc>
        <w:tc>
          <w:tcPr>
            <w:tcW w:w="1417" w:type="dxa"/>
          </w:tcPr>
          <w:p w14:paraId="5CB78704"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w:t>
            </w:r>
          </w:p>
        </w:tc>
      </w:tr>
      <w:tr w:rsidR="00125248" w14:paraId="289395BE" w14:textId="77777777" w:rsidTr="00BB294B">
        <w:tc>
          <w:tcPr>
            <w:cnfStyle w:val="001000000000" w:firstRow="0" w:lastRow="0" w:firstColumn="1" w:lastColumn="0" w:oddVBand="0" w:evenVBand="0" w:oddHBand="0" w:evenHBand="0" w:firstRowFirstColumn="0" w:firstRowLastColumn="0" w:lastRowFirstColumn="0" w:lastRowLastColumn="0"/>
            <w:tcW w:w="3119" w:type="dxa"/>
          </w:tcPr>
          <w:p w14:paraId="713B5BA4" w14:textId="77777777" w:rsidR="00125248" w:rsidRDefault="00125248" w:rsidP="00BB294B">
            <w:r>
              <w:t>Aiken and England 2008</w:t>
            </w:r>
            <w:r>
              <w:fldChar w:fldCharType="begin"/>
            </w:r>
            <w:r>
              <w:instrText xml:space="preserve"> ADDIN ZOTERO_ITEM CSL_CITATION {"citationID":"WGKrltns","properties":{"formattedCitation":"\\super 33\\nosupersub{}","plainCitation":"33","noteIndex":0},"citationItems":[{"id":362,"uris":["http://zotero.org/users/10940351/items/QDMBQPL9"],"itemData":{"id":362,"type":"article-journal","container-title":"Journal of Climate","DOI":"https://doi.org/10.1175/2007JCLI1901.1","issue":"15","note":"publisher-place: Boston MA, USA\npublisher: American Meteorological Society","page":"3936 - 3946","title":"Sensitivity of the Present-Day Climate to Freshwater Forcing Associated with Antarctic Sea Ice Loss","volume":"21","author":[{"family":"Aiken","given":"Christopher M."},{"family":"England","given":"Matthew H."}],"issued":{"date-parts":[["2008"]]}}}],"schema":"https://github.com/citation-style-language/schema/raw/master/csl-citation.json"} </w:instrText>
            </w:r>
            <w:r>
              <w:fldChar w:fldCharType="separate"/>
            </w:r>
            <w:r w:rsidRPr="0005156D">
              <w:rPr>
                <w:vertAlign w:val="superscript"/>
              </w:rPr>
              <w:t>33</w:t>
            </w:r>
            <w:r>
              <w:fldChar w:fldCharType="end"/>
            </w:r>
          </w:p>
        </w:tc>
        <w:tc>
          <w:tcPr>
            <w:tcW w:w="1924" w:type="dxa"/>
          </w:tcPr>
          <w:p w14:paraId="0D379273"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126</w:t>
            </w:r>
          </w:p>
        </w:tc>
        <w:tc>
          <w:tcPr>
            <w:tcW w:w="1909" w:type="dxa"/>
          </w:tcPr>
          <w:p w14:paraId="27FA0099"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12614</w:t>
            </w:r>
          </w:p>
        </w:tc>
        <w:tc>
          <w:tcPr>
            <w:tcW w:w="1412" w:type="dxa"/>
          </w:tcPr>
          <w:p w14:paraId="3CF5B79D"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w:t>
            </w:r>
          </w:p>
        </w:tc>
        <w:tc>
          <w:tcPr>
            <w:tcW w:w="1417" w:type="dxa"/>
          </w:tcPr>
          <w:p w14:paraId="3991C732"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w:t>
            </w:r>
          </w:p>
        </w:tc>
      </w:tr>
      <w:tr w:rsidR="00125248" w14:paraId="78DAE800" w14:textId="77777777" w:rsidTr="00BB294B">
        <w:tc>
          <w:tcPr>
            <w:cnfStyle w:val="001000000000" w:firstRow="0" w:lastRow="0" w:firstColumn="1" w:lastColumn="0" w:oddVBand="0" w:evenVBand="0" w:oddHBand="0" w:evenHBand="0" w:firstRowFirstColumn="0" w:firstRowLastColumn="0" w:lastRowFirstColumn="0" w:lastRowLastColumn="0"/>
            <w:tcW w:w="3119" w:type="dxa"/>
          </w:tcPr>
          <w:p w14:paraId="40E465ED" w14:textId="77777777" w:rsidR="00125248" w:rsidRDefault="00125248" w:rsidP="00BB294B">
            <w:r>
              <w:t>DeConto and Pollard 2016</w:t>
            </w:r>
            <w:r>
              <w:fldChar w:fldCharType="begin"/>
            </w:r>
            <w:r>
              <w:instrText xml:space="preserve"> ADDIN ZOTERO_ITEM CSL_CITATION {"citationID":"3fhAI6NB","properties":{"formattedCitation":"\\super 10\\nosupersub{}","plainCitation":"10","noteIndex":0},"citationItems":[{"id":42,"uris":["http://zotero.org/users/10940351/items/H4ZCZE74"],"itemData":{"id":42,"type":"article-journal","abstract":"Polar temperatures over the last several million years have, at times, been slightly warmer than today, yet global mean sea level has been 6–9 metres higher as recently as the Last Interglacial (130,000 to 115,000 years ago) and possibly higher during the Pliocene epoch (about three million years ago). In both cases the Antarctic ice sheet has been implicated as the primary contributor, hinting at its future vulnerability. Here we use a model coupling ice sheet and climate dynamics—including previously underappreciated processes linking atmospheric warming with hydrofracturing of buttressing ice shelves and structural collapse of marine-terminating ice cliffs—that is calibrated against Pliocene and Last Interglacial sea-level estimates and applied to future greenhouse gas emission scenarios. Antarctica has the potential to contribute more than a metre of sea-level rise by 2100 and more than 15 metres by 2500, if emissions continue unabated. In this case atmospheric warming will soon become the dominant driver of ice loss, but prolonged ocean warming will delay its recovery for thousands of years.","container-title":"Nature","DOI":"10.1038/nature17145","ISSN":"1476-4687","issue":"7596","journalAbbreviation":"Nature","page":"591-597","title":"Contribution of Antarctica to past and future sea-level rise","volume":"531","author":[{"family":"DeConto","given":"Robert M."},{"family":"Pollard","given":"David"}],"issued":{"date-parts":[["2016",3,1]]}}}],"schema":"https://github.com/citation-style-language/schema/raw/master/csl-citation.json"} </w:instrText>
            </w:r>
            <w:r>
              <w:fldChar w:fldCharType="separate"/>
            </w:r>
            <w:r w:rsidRPr="00625A2A">
              <w:rPr>
                <w:vertAlign w:val="superscript"/>
              </w:rPr>
              <w:t>10</w:t>
            </w:r>
            <w:r>
              <w:fldChar w:fldCharType="end"/>
            </w:r>
          </w:p>
        </w:tc>
        <w:tc>
          <w:tcPr>
            <w:tcW w:w="1924" w:type="dxa"/>
          </w:tcPr>
          <w:p w14:paraId="15270F04"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6037 (RCP4.5)</w:t>
            </w:r>
          </w:p>
        </w:tc>
        <w:tc>
          <w:tcPr>
            <w:tcW w:w="1909" w:type="dxa"/>
          </w:tcPr>
          <w:p w14:paraId="1677BEBC"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18922 (RCP8.5)</w:t>
            </w:r>
          </w:p>
        </w:tc>
        <w:tc>
          <w:tcPr>
            <w:tcW w:w="1412" w:type="dxa"/>
          </w:tcPr>
          <w:p w14:paraId="0ADCE135"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w:t>
            </w:r>
          </w:p>
        </w:tc>
        <w:tc>
          <w:tcPr>
            <w:tcW w:w="1417" w:type="dxa"/>
          </w:tcPr>
          <w:p w14:paraId="56B8567D"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w:t>
            </w:r>
          </w:p>
        </w:tc>
      </w:tr>
      <w:tr w:rsidR="00125248" w14:paraId="0F861EF7" w14:textId="77777777" w:rsidTr="00BB294B">
        <w:tc>
          <w:tcPr>
            <w:cnfStyle w:val="001000000000" w:firstRow="0" w:lastRow="0" w:firstColumn="1" w:lastColumn="0" w:oddVBand="0" w:evenVBand="0" w:oddHBand="0" w:evenHBand="0" w:firstRowFirstColumn="0" w:firstRowLastColumn="0" w:lastRowFirstColumn="0" w:lastRowLastColumn="0"/>
            <w:tcW w:w="3119" w:type="dxa"/>
          </w:tcPr>
          <w:p w14:paraId="01034C1A" w14:textId="77777777" w:rsidR="00125248" w:rsidRDefault="00125248" w:rsidP="00BB294B">
            <w:r>
              <w:t>Lenaerts et. al 2015</w:t>
            </w:r>
            <w:r>
              <w:fldChar w:fldCharType="begin"/>
            </w:r>
            <w:r>
              <w:instrText xml:space="preserve"> ADDIN ZOTERO_ITEM CSL_CITATION {"citationID":"JXAbhRWv","properties":{"formattedCitation":"\\super 43\\nosupersub{}","plainCitation":"43","noteIndex":0},"citationItems":[{"id":370,"uris":["http://zotero.org/users/10940351/items/ADGRBRMI"],"itemData":{"id":370,"type":"article-journal","abstract":"Abstract Here we present a long-term (1850?2200) best estimate of Greenland ice sheet (GrIS) freshwater runoff that improves spatial detail of runoff locations and temporal resolution. Ice discharge is taken from observations since 2000 and assumed constant in time. Surface meltwater runoff is retrieved from regional climate model output for the recent past and parameterized for the future based on significant correlations between runoff and midtropospheric (500 hPa) summer temperature changes over the GrIS. The simplicity of this approach enables assimilation of meltwater runoff into coupled climate models, which is demonstrated here in a case study with the medium-resolution (1°) Community Earth System Model. The model results suggest that the decrease in Atlantic Meridional Overturning Circulation (AMOC) is dominated by warming of the surface ocean and enhanced GrIS freshwater forcing leads to a slightly enhanced (?1.2 sverdrup in the 21st century) weakening of the AMOC.","container-title":"Geophysical Research Letters","DOI":"10.1002/2015GL064738","ISSN":"0094-8276","issue":"15","journalAbbreviation":"Geophysical Research Letters","note":"publisher: John Wiley &amp; Sons, Ltd","page":"6373-6381","title":"Representing Greenland ice sheet freshwater fluxes in climate models","volume":"42","author":[{"family":"Lenaerts","given":"Jan T. M."},{"family":"Le Bars","given":"Dewi"},{"family":"Kampenhout","given":"Leo","non-dropping-particle":"van"},{"family":"Vizcaino","given":"Miren"},{"family":"Enderlin","given":"Ellyn M."},{"family":"Broeke","given":"Michiel R.","non-dropping-particle":"van den"}],"issued":{"date-parts":[["2015",8,16]]}}}],"schema":"https://github.com/citation-style-language/schema/raw/master/csl-citation.json"} </w:instrText>
            </w:r>
            <w:r>
              <w:fldChar w:fldCharType="separate"/>
            </w:r>
            <w:r w:rsidRPr="008760C5">
              <w:rPr>
                <w:vertAlign w:val="superscript"/>
              </w:rPr>
              <w:t>43</w:t>
            </w:r>
            <w:r>
              <w:fldChar w:fldCharType="end"/>
            </w:r>
          </w:p>
        </w:tc>
        <w:tc>
          <w:tcPr>
            <w:tcW w:w="1924" w:type="dxa"/>
          </w:tcPr>
          <w:p w14:paraId="768B3DE9"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w:t>
            </w:r>
          </w:p>
        </w:tc>
        <w:tc>
          <w:tcPr>
            <w:tcW w:w="1909" w:type="dxa"/>
          </w:tcPr>
          <w:p w14:paraId="56D303E3"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w:t>
            </w:r>
          </w:p>
        </w:tc>
        <w:tc>
          <w:tcPr>
            <w:tcW w:w="1412" w:type="dxa"/>
          </w:tcPr>
          <w:p w14:paraId="78490496"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1500</w:t>
            </w:r>
          </w:p>
        </w:tc>
        <w:tc>
          <w:tcPr>
            <w:tcW w:w="1417" w:type="dxa"/>
          </w:tcPr>
          <w:p w14:paraId="2441E8A1"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2400</w:t>
            </w:r>
          </w:p>
        </w:tc>
      </w:tr>
      <w:tr w:rsidR="00125248" w14:paraId="3D3579B2" w14:textId="77777777" w:rsidTr="00BB294B">
        <w:tc>
          <w:tcPr>
            <w:cnfStyle w:val="001000000000" w:firstRow="0" w:lastRow="0" w:firstColumn="1" w:lastColumn="0" w:oddVBand="0" w:evenVBand="0" w:oddHBand="0" w:evenHBand="0" w:firstRowFirstColumn="0" w:firstRowLastColumn="0" w:lastRowFirstColumn="0" w:lastRowLastColumn="0"/>
            <w:tcW w:w="3119" w:type="dxa"/>
          </w:tcPr>
          <w:p w14:paraId="275E9F3B" w14:textId="77777777" w:rsidR="00125248" w:rsidRDefault="00125248" w:rsidP="00BB294B">
            <w:r>
              <w:t>Golledge et. al 2019</w:t>
            </w:r>
            <w:r>
              <w:fldChar w:fldCharType="begin"/>
            </w:r>
            <w:r>
              <w:instrText xml:space="preserve"> ADDIN ZOTERO_ITEM CSL_CITATION {"citationID":"jijEQ6HL","properties":{"formattedCitation":"\\super 5\\nosupersub{}","plainCitation":"5","noteIndex":0},"citationItems":[{"id":185,"uris":["http://zotero.org/users/10940351/items/B9RZHDVU"],"itemData":{"id":185,"type":"article-journal","abstract":"Government policies currently commit us to surface warming of three to four degrees Celsius above pre-industrial levels by 2100, which will lead to enhanced ice-sheet melt. Ice-sheet discharge was not explicitly included in Coupled Model Intercomparison Project phase 5, so effects on climate from this melt are not currently captured in the simulations most commonly used to inform governmental policy. Here we show, using simulations of the Greenland and Antarctic ice sheets constrained by satellite-based measurements of recent changes in ice mass, that increasing meltwater from Greenland will lead to substantial slowing of the Atlantic overturning circulation, and that meltwater from Antarctica will trap warm water below the sea surface, creating a positive feedback that increases Antarctic ice loss. In our simulations, future ice-sheet melt enhances global temperature variability and contributes up to 25 centimetres to sea level by 2100. However, uncertainties in the way in which future changes in ice dynamics are modelled remain, underlining the need for continued observations and comprehensive multi-model assessments.","container-title":"Nature","DOI":"10.1038/s41586-019-0889-9","ISSN":"1476-4687","issue":"7742","journalAbbreviation":"Nature","page":"65-72","title":"Global environmental consequences of twenty-first-century ice-sheet melt","volume":"566","author":[{"family":"Golledge","given":"Nicholas R."},{"family":"Keller","given":"Elizabeth D."},{"family":"Gomez","given":"Natalya"},{"family":"Naughten","given":"Kaitlin A."},{"family":"Bernales","given":"Jorge"},{"family":"Trusel","given":"Luke D."},{"family":"Edwards","given":"Tamsin L."}],"issued":{"date-parts":[["2019",2,1]]}}}],"schema":"https://github.com/citation-style-language/schema/raw/master/csl-citation.json"} </w:instrText>
            </w:r>
            <w:r>
              <w:fldChar w:fldCharType="separate"/>
            </w:r>
            <w:r w:rsidRPr="00625A2A">
              <w:rPr>
                <w:vertAlign w:val="superscript"/>
              </w:rPr>
              <w:t>5</w:t>
            </w:r>
            <w:r>
              <w:fldChar w:fldCharType="end"/>
            </w:r>
          </w:p>
        </w:tc>
        <w:tc>
          <w:tcPr>
            <w:tcW w:w="1924" w:type="dxa"/>
          </w:tcPr>
          <w:p w14:paraId="740F686E"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473</w:t>
            </w:r>
          </w:p>
        </w:tc>
        <w:tc>
          <w:tcPr>
            <w:tcW w:w="1909" w:type="dxa"/>
          </w:tcPr>
          <w:p w14:paraId="0E26478A"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5046</w:t>
            </w:r>
          </w:p>
        </w:tc>
        <w:tc>
          <w:tcPr>
            <w:tcW w:w="1412" w:type="dxa"/>
          </w:tcPr>
          <w:p w14:paraId="6D932B1C"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473</w:t>
            </w:r>
          </w:p>
        </w:tc>
        <w:tc>
          <w:tcPr>
            <w:tcW w:w="1417" w:type="dxa"/>
          </w:tcPr>
          <w:p w14:paraId="41E9B0EE"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1325</w:t>
            </w:r>
          </w:p>
        </w:tc>
      </w:tr>
      <w:tr w:rsidR="00125248" w14:paraId="7A60FEE2" w14:textId="77777777" w:rsidTr="00BB294B">
        <w:tc>
          <w:tcPr>
            <w:cnfStyle w:val="001000000000" w:firstRow="0" w:lastRow="0" w:firstColumn="1" w:lastColumn="0" w:oddVBand="0" w:evenVBand="0" w:oddHBand="0" w:evenHBand="0" w:firstRowFirstColumn="0" w:firstRowLastColumn="0" w:lastRowFirstColumn="0" w:lastRowLastColumn="0"/>
            <w:tcW w:w="3119" w:type="dxa"/>
          </w:tcPr>
          <w:p w14:paraId="478A7655" w14:textId="77777777" w:rsidR="00125248" w:rsidRDefault="00125248" w:rsidP="00BB294B">
            <w:r>
              <w:t>Gorte et. al 2023</w:t>
            </w:r>
            <w:r>
              <w:fldChar w:fldCharType="begin"/>
            </w:r>
            <w:r>
              <w:instrText xml:space="preserve"> ADDIN ZOTERO_ITEM CSL_CITATION {"citationID":"E0MqlkWY","properties":{"formattedCitation":"\\super 8\\nosupersub{}","plainCitation":"8","noteIndex":0},"citationItems":[{"id":337,"uris":["http://zotero.org/users/10940351/items/JYJ4WD4J"],"itemData":{"id":337,"type":"article-journal","abstract":"Abstract Multidecadal satellite observations indicate that the Antarctic Ice Sheet (AIS) is losing mass at an accelerating rate, which has the potential to impact many aspects of the climate system. While previous studies demonstrated the importance of AIS freshwater (FW) discharge for regional and global climate processes using climate model experiments, many have applied unrealistic FW forcings. Here, we explore potential Southern Ocean (SO) impacts of realistic AIS mass loss over the 21st century in the Community Earth System Model version 2 by applying observation-based historical and ice sheet model-based future AIS FW forcing. The added FW reduces wintertime deep convective area by 72% while retaining 83% more sea ice. Congruent with other studies, we find the increased FW discharge extensively impacts local and remote SO surface and subsurface temperature and stratification. These results demonstrate the necessity of accounting for AIS mass loss in global climate models for projecting future climate.","container-title":"Geophysical Research Letters","DOI":"10.1029/2023GL104949","ISSN":"0094-8276","issue":"20","journalAbbreviation":"Geophysical Research Letters","page":"e2023GL104949","title":"Antarctic Ice Sheet Freshwater Discharge Drives Substantial Southern Ocean Changes Over the 21st Century","volume":"50","author":[{"family":"Gorte","given":"Tessa"},{"family":"Lovenduski","given":"Nicole S."},{"family":"Nisssen","given":"Cara"},{"family":"Lenaerts","given":"Jan T. M."}],"issued":{"date-parts":[["2023"]]}}}],"schema":"https://github.com/citation-style-language/schema/raw/master/csl-citation.json"} </w:instrText>
            </w:r>
            <w:r>
              <w:fldChar w:fldCharType="separate"/>
            </w:r>
            <w:r w:rsidRPr="00625A2A">
              <w:rPr>
                <w:vertAlign w:val="superscript"/>
              </w:rPr>
              <w:t>8</w:t>
            </w:r>
            <w:r>
              <w:fldChar w:fldCharType="end"/>
            </w:r>
            <w:r>
              <w:t>.</w:t>
            </w:r>
            <w:r>
              <w:fldChar w:fldCharType="begin"/>
            </w:r>
            <w:r>
              <w:instrText xml:space="preserve"> ADDIN ZOTERO_TEMP </w:instrText>
            </w:r>
            <w:r>
              <w:fldChar w:fldCharType="separate"/>
            </w:r>
            <w:r>
              <w:fldChar w:fldCharType="end"/>
            </w:r>
          </w:p>
        </w:tc>
        <w:tc>
          <w:tcPr>
            <w:tcW w:w="1924" w:type="dxa"/>
          </w:tcPr>
          <w:p w14:paraId="25EA7E76"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2775</w:t>
            </w:r>
          </w:p>
        </w:tc>
        <w:tc>
          <w:tcPr>
            <w:tcW w:w="1909" w:type="dxa"/>
          </w:tcPr>
          <w:p w14:paraId="300237B4"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9098</w:t>
            </w:r>
          </w:p>
        </w:tc>
        <w:tc>
          <w:tcPr>
            <w:tcW w:w="1412" w:type="dxa"/>
          </w:tcPr>
          <w:p w14:paraId="601FCF21"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788</w:t>
            </w:r>
          </w:p>
        </w:tc>
        <w:tc>
          <w:tcPr>
            <w:tcW w:w="1417" w:type="dxa"/>
          </w:tcPr>
          <w:p w14:paraId="3F59FD8E"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6344</w:t>
            </w:r>
          </w:p>
        </w:tc>
      </w:tr>
      <w:tr w:rsidR="00125248" w14:paraId="3737554F" w14:textId="77777777" w:rsidTr="00BB294B">
        <w:tc>
          <w:tcPr>
            <w:cnfStyle w:val="001000000000" w:firstRow="0" w:lastRow="0" w:firstColumn="1" w:lastColumn="0" w:oddVBand="0" w:evenVBand="0" w:oddHBand="0" w:evenHBand="0" w:firstRowFirstColumn="0" w:firstRowLastColumn="0" w:lastRowFirstColumn="0" w:lastRowLastColumn="0"/>
            <w:tcW w:w="3119" w:type="dxa"/>
            <w:shd w:val="clear" w:color="auto" w:fill="E8E8E8" w:themeFill="background2"/>
          </w:tcPr>
          <w:p w14:paraId="761F1D2F" w14:textId="77777777" w:rsidR="00125248" w:rsidRDefault="00125248" w:rsidP="00BB294B">
            <w:r>
              <w:t>Averages [Gt/yr]</w:t>
            </w:r>
          </w:p>
        </w:tc>
        <w:tc>
          <w:tcPr>
            <w:tcW w:w="1924" w:type="dxa"/>
            <w:shd w:val="clear" w:color="auto" w:fill="E8E8E8" w:themeFill="background2"/>
          </w:tcPr>
          <w:p w14:paraId="22AF824C"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1806</w:t>
            </w:r>
          </w:p>
        </w:tc>
        <w:tc>
          <w:tcPr>
            <w:tcW w:w="1909" w:type="dxa"/>
            <w:shd w:val="clear" w:color="auto" w:fill="E8E8E8" w:themeFill="background2"/>
          </w:tcPr>
          <w:p w14:paraId="42265894"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8276</w:t>
            </w:r>
          </w:p>
        </w:tc>
        <w:tc>
          <w:tcPr>
            <w:tcW w:w="1412" w:type="dxa"/>
            <w:shd w:val="clear" w:color="auto" w:fill="E8E8E8" w:themeFill="background2"/>
          </w:tcPr>
          <w:p w14:paraId="5420FDBB"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868</w:t>
            </w:r>
          </w:p>
        </w:tc>
        <w:tc>
          <w:tcPr>
            <w:tcW w:w="1417" w:type="dxa"/>
            <w:shd w:val="clear" w:color="auto" w:fill="E8E8E8" w:themeFill="background2"/>
          </w:tcPr>
          <w:p w14:paraId="10B2D237" w14:textId="77777777" w:rsidR="00125248" w:rsidRDefault="00125248" w:rsidP="00BB294B">
            <w:pPr>
              <w:jc w:val="center"/>
              <w:cnfStyle w:val="000000000000" w:firstRow="0" w:lastRow="0" w:firstColumn="0" w:lastColumn="0" w:oddVBand="0" w:evenVBand="0" w:oddHBand="0" w:evenHBand="0" w:firstRowFirstColumn="0" w:firstRowLastColumn="0" w:lastRowFirstColumn="0" w:lastRowLastColumn="0"/>
            </w:pPr>
            <w:r>
              <w:t>3140</w:t>
            </w:r>
          </w:p>
        </w:tc>
      </w:tr>
    </w:tbl>
    <w:p w14:paraId="60D07C8F" w14:textId="77777777" w:rsidR="00125248" w:rsidRPr="00BB5B95" w:rsidRDefault="00125248" w:rsidP="00125248">
      <w:pPr>
        <w:ind w:firstLine="720"/>
      </w:pPr>
      <w:r>
        <w:rPr>
          <w:noProof/>
          <w14:ligatures w14:val="standardContextual"/>
        </w:rPr>
        <mc:AlternateContent>
          <mc:Choice Requires="wps">
            <w:drawing>
              <wp:anchor distT="0" distB="0" distL="114300" distR="114300" simplePos="0" relativeHeight="251663360" behindDoc="0" locked="0" layoutInCell="1" allowOverlap="1" wp14:anchorId="50B4B9E5" wp14:editId="404C73F6">
                <wp:simplePos x="0" y="0"/>
                <wp:positionH relativeFrom="column">
                  <wp:posOffset>-101600</wp:posOffset>
                </wp:positionH>
                <wp:positionV relativeFrom="paragraph">
                  <wp:posOffset>21590</wp:posOffset>
                </wp:positionV>
                <wp:extent cx="6245013" cy="982767"/>
                <wp:effectExtent l="0" t="0" r="0" b="0"/>
                <wp:wrapNone/>
                <wp:docPr id="2091061549" name="Text Box 5"/>
                <wp:cNvGraphicFramePr/>
                <a:graphic xmlns:a="http://schemas.openxmlformats.org/drawingml/2006/main">
                  <a:graphicData uri="http://schemas.microsoft.com/office/word/2010/wordprocessingShape">
                    <wps:wsp>
                      <wps:cNvSpPr txBox="1"/>
                      <wps:spPr>
                        <a:xfrm>
                          <a:off x="0" y="0"/>
                          <a:ext cx="6245013" cy="982767"/>
                        </a:xfrm>
                        <a:prstGeom prst="rect">
                          <a:avLst/>
                        </a:prstGeom>
                        <a:noFill/>
                        <a:ln w="6350">
                          <a:noFill/>
                        </a:ln>
                      </wps:spPr>
                      <wps:txbx>
                        <w:txbxContent>
                          <w:p w14:paraId="54CCDD11" w14:textId="77777777" w:rsidR="00125248" w:rsidRDefault="00125248" w:rsidP="00125248">
                            <w:r>
                              <w:rPr>
                                <w:b/>
                                <w:bCs/>
                              </w:rPr>
                              <w:t>Table S1:</w:t>
                            </w:r>
                            <w:r w:rsidRPr="00AC5882">
                              <w:t xml:space="preserve"> A brief grouping of predicted melt rates from a variety of papers</w:t>
                            </w:r>
                            <w:r>
                              <w:t>, from which the values from Golledge et. al 2019 were checked against. Data has been changed from original units to Gt/yr.</w:t>
                            </w:r>
                            <w:r>
                              <w:rPr>
                                <w:b/>
                                <w:bCs/>
                              </w:rPr>
                              <w:t xml:space="preserve"> </w:t>
                            </w:r>
                            <w:r>
                              <w:t xml:space="preserve">Our maximum forcing value is taken from Golledge et. al 2019, for sake of comparison with other simulation literature. Our minimum input of 1000Gt/yr is rounded up from the average of Min GIS. This is not a comprehensive list of inputs.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B4B9E5" id="_x0000_s1031" type="#_x0000_t202" style="position:absolute;left:0;text-align:left;margin-left:-8pt;margin-top:1.7pt;width:491.75pt;height:77.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" filled="f" stroked="f" strokeweight=".5pt">
                <v:textbox>
                  <w:txbxContent>
                    <w:p w14:paraId="54CCDD11" w14:textId="77777777" w:rsidR="00125248" w:rsidRDefault="00125248" w:rsidP="00125248">
                      <w:r>
                        <w:rPr>
                          <w:b/>
                          <w:bCs/>
                        </w:rPr>
                        <w:t>Table S1:</w:t>
                      </w:r>
                      <w:r w:rsidRPr="00AC5882">
                        <w:t xml:space="preserve"> A brief grouping of predicted melt rates from a variety of papers</w:t>
                      </w:r>
                      <w:r>
                        <w:t>, from which the values from Golledge et. al 2019 were checked against. Data has been changed from original units to Gt/yr.</w:t>
                      </w:r>
                      <w:r>
                        <w:rPr>
                          <w:b/>
                          <w:bCs/>
                        </w:rPr>
                        <w:t xml:space="preserve"> </w:t>
                      </w:r>
                      <w:r>
                        <w:t xml:space="preserve">Our maximum forcing value is taken from Golledge et. al 2019, for sake of comparison with other simulation literature. Our minimum input of 1000Gt/yr is rounded up from the average of Min GIS. This is not a comprehensive list of inputs. </w:t>
                      </w:r>
                    </w:p>
                  </w:txbxContent>
                </v:textbox>
              </v:shape>
            </w:pict>
          </mc:Fallback>
        </mc:AlternateContent>
      </w:r>
    </w:p>
    <w:p w14:paraId="57882124" w14:textId="77777777" w:rsidR="00F553FF" w:rsidRDefault="00F553FF"/>
    <w:sectPr w:rsidR="00F553FF" w:rsidSect="00125248">
      <w:headerReference w:type="default" r:id="rId10"/>
      <w:footerReference w:type="default" r:id="rId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B58B775" w14:paraId="2F0B4C74" w14:textId="77777777" w:rsidTr="00AD490D">
      <w:trPr>
        <w:trHeight w:val="300"/>
      </w:trPr>
      <w:tc>
        <w:tcPr>
          <w:tcW w:w="3120" w:type="dxa"/>
        </w:tcPr>
        <w:p w14:paraId="7C203F1A" w14:textId="77777777" w:rsidR="00000000" w:rsidRDefault="00000000" w:rsidP="00AD490D">
          <w:pPr>
            <w:pStyle w:val="Header"/>
            <w:ind w:left="-115"/>
          </w:pPr>
        </w:p>
      </w:tc>
      <w:tc>
        <w:tcPr>
          <w:tcW w:w="3120" w:type="dxa"/>
        </w:tcPr>
        <w:p w14:paraId="7C21D4D2" w14:textId="77777777" w:rsidR="00000000" w:rsidRDefault="00000000" w:rsidP="00AD490D">
          <w:pPr>
            <w:pStyle w:val="Header"/>
            <w:jc w:val="center"/>
          </w:pPr>
        </w:p>
      </w:tc>
      <w:tc>
        <w:tcPr>
          <w:tcW w:w="3120" w:type="dxa"/>
        </w:tcPr>
        <w:p w14:paraId="38EE7500" w14:textId="77777777" w:rsidR="00000000" w:rsidRDefault="00000000" w:rsidP="00AD490D">
          <w:pPr>
            <w:pStyle w:val="Header"/>
            <w:ind w:right="-115"/>
            <w:jc w:val="right"/>
          </w:pPr>
          <w:r>
            <w:fldChar w:fldCharType="begin"/>
          </w:r>
          <w:r>
            <w:instrText>PAGE</w:instrText>
          </w:r>
          <w:r>
            <w:fldChar w:fldCharType="separate"/>
          </w:r>
          <w:r>
            <w:rPr>
              <w:noProof/>
            </w:rPr>
            <w:t>12</w:t>
          </w:r>
          <w:r>
            <w:fldChar w:fldCharType="end"/>
          </w:r>
        </w:p>
      </w:tc>
    </w:tr>
  </w:tbl>
  <w:p w14:paraId="5F80D49B"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B58B775" w14:paraId="0171B563" w14:textId="77777777" w:rsidTr="00AD490D">
      <w:trPr>
        <w:trHeight w:val="300"/>
      </w:trPr>
      <w:tc>
        <w:tcPr>
          <w:tcW w:w="3120" w:type="dxa"/>
        </w:tcPr>
        <w:p w14:paraId="5009822D" w14:textId="77777777" w:rsidR="00000000" w:rsidRDefault="00000000" w:rsidP="00AD490D">
          <w:pPr>
            <w:pStyle w:val="Header"/>
            <w:ind w:left="-115"/>
          </w:pPr>
        </w:p>
      </w:tc>
      <w:tc>
        <w:tcPr>
          <w:tcW w:w="3120" w:type="dxa"/>
        </w:tcPr>
        <w:p w14:paraId="17D3E213" w14:textId="77777777" w:rsidR="00000000" w:rsidRDefault="00000000" w:rsidP="00AD490D">
          <w:pPr>
            <w:pStyle w:val="Header"/>
            <w:jc w:val="center"/>
          </w:pPr>
        </w:p>
      </w:tc>
      <w:tc>
        <w:tcPr>
          <w:tcW w:w="3120" w:type="dxa"/>
        </w:tcPr>
        <w:p w14:paraId="3694B1B1" w14:textId="77777777" w:rsidR="00000000" w:rsidRDefault="00000000" w:rsidP="00AD490D">
          <w:pPr>
            <w:pStyle w:val="Header"/>
            <w:ind w:right="-115"/>
            <w:jc w:val="right"/>
          </w:pPr>
        </w:p>
      </w:tc>
    </w:tr>
  </w:tbl>
  <w:p w14:paraId="02484187" w14:textId="77777777" w:rsidR="00000000" w:rsidRDefault="000000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248"/>
    <w:rsid w:val="00125248"/>
    <w:rsid w:val="003C2EF4"/>
    <w:rsid w:val="00AE4F74"/>
    <w:rsid w:val="00B74216"/>
    <w:rsid w:val="00D62F8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4B4136"/>
  <w15:chartTrackingRefBased/>
  <w15:docId w15:val="{4CC0A265-0989-47B3-AE59-F9F4C0DDD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5248"/>
    <w:pPr>
      <w:spacing w:after="0" w:line="240" w:lineRule="auto"/>
    </w:pPr>
    <w:rPr>
      <w:rFonts w:ascii="Times New Roman" w:eastAsia="Times New Roman" w:hAnsi="Times New Roman" w:cs="Times New Roman"/>
      <w:kern w:val="0"/>
      <w:sz w:val="24"/>
      <w:szCs w:val="24"/>
      <w:lang w:val="en-GB" w:eastAsia="en-GB"/>
      <w14:ligatures w14:val="none"/>
    </w:rPr>
  </w:style>
  <w:style w:type="paragraph" w:styleId="Heading1">
    <w:name w:val="heading 1"/>
    <w:basedOn w:val="Normal"/>
    <w:next w:val="Normal"/>
    <w:link w:val="Heading1Char"/>
    <w:uiPriority w:val="9"/>
    <w:qFormat/>
    <w:rsid w:val="00125248"/>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125248"/>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125248"/>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125248"/>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US" w:eastAsia="en-US"/>
      <w14:ligatures w14:val="standardContextual"/>
    </w:rPr>
  </w:style>
  <w:style w:type="paragraph" w:styleId="Heading5">
    <w:name w:val="heading 5"/>
    <w:basedOn w:val="Normal"/>
    <w:next w:val="Normal"/>
    <w:link w:val="Heading5Char"/>
    <w:uiPriority w:val="9"/>
    <w:semiHidden/>
    <w:unhideWhenUsed/>
    <w:qFormat/>
    <w:rsid w:val="00125248"/>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US" w:eastAsia="en-US"/>
      <w14:ligatures w14:val="standardContextual"/>
    </w:rPr>
  </w:style>
  <w:style w:type="paragraph" w:styleId="Heading6">
    <w:name w:val="heading 6"/>
    <w:basedOn w:val="Normal"/>
    <w:next w:val="Normal"/>
    <w:link w:val="Heading6Char"/>
    <w:uiPriority w:val="9"/>
    <w:semiHidden/>
    <w:unhideWhenUsed/>
    <w:qFormat/>
    <w:rsid w:val="00125248"/>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US" w:eastAsia="en-US"/>
      <w14:ligatures w14:val="standardContextual"/>
    </w:rPr>
  </w:style>
  <w:style w:type="paragraph" w:styleId="Heading7">
    <w:name w:val="heading 7"/>
    <w:basedOn w:val="Normal"/>
    <w:next w:val="Normal"/>
    <w:link w:val="Heading7Char"/>
    <w:uiPriority w:val="9"/>
    <w:semiHidden/>
    <w:unhideWhenUsed/>
    <w:qFormat/>
    <w:rsid w:val="00125248"/>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US" w:eastAsia="en-US"/>
      <w14:ligatures w14:val="standardContextual"/>
    </w:rPr>
  </w:style>
  <w:style w:type="paragraph" w:styleId="Heading8">
    <w:name w:val="heading 8"/>
    <w:basedOn w:val="Normal"/>
    <w:next w:val="Normal"/>
    <w:link w:val="Heading8Char"/>
    <w:uiPriority w:val="9"/>
    <w:semiHidden/>
    <w:unhideWhenUsed/>
    <w:qFormat/>
    <w:rsid w:val="00125248"/>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US" w:eastAsia="en-US"/>
      <w14:ligatures w14:val="standardContextual"/>
    </w:rPr>
  </w:style>
  <w:style w:type="paragraph" w:styleId="Heading9">
    <w:name w:val="heading 9"/>
    <w:basedOn w:val="Normal"/>
    <w:next w:val="Normal"/>
    <w:link w:val="Heading9Char"/>
    <w:uiPriority w:val="9"/>
    <w:semiHidden/>
    <w:unhideWhenUsed/>
    <w:qFormat/>
    <w:rsid w:val="00125248"/>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52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52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52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52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52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52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52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52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5248"/>
    <w:rPr>
      <w:rFonts w:eastAsiaTheme="majorEastAsia" w:cstheme="majorBidi"/>
      <w:color w:val="272727" w:themeColor="text1" w:themeTint="D8"/>
    </w:rPr>
  </w:style>
  <w:style w:type="paragraph" w:styleId="Title">
    <w:name w:val="Title"/>
    <w:basedOn w:val="Normal"/>
    <w:next w:val="Normal"/>
    <w:link w:val="TitleChar"/>
    <w:uiPriority w:val="10"/>
    <w:qFormat/>
    <w:rsid w:val="00125248"/>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1252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5248"/>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1252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5248"/>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US" w:eastAsia="en-US"/>
      <w14:ligatures w14:val="standardContextual"/>
    </w:rPr>
  </w:style>
  <w:style w:type="character" w:customStyle="1" w:styleId="QuoteChar">
    <w:name w:val="Quote Char"/>
    <w:basedOn w:val="DefaultParagraphFont"/>
    <w:link w:val="Quote"/>
    <w:uiPriority w:val="29"/>
    <w:rsid w:val="00125248"/>
    <w:rPr>
      <w:i/>
      <w:iCs/>
      <w:color w:val="404040" w:themeColor="text1" w:themeTint="BF"/>
    </w:rPr>
  </w:style>
  <w:style w:type="paragraph" w:styleId="ListParagraph">
    <w:name w:val="List Paragraph"/>
    <w:basedOn w:val="Normal"/>
    <w:uiPriority w:val="34"/>
    <w:qFormat/>
    <w:rsid w:val="00125248"/>
    <w:pPr>
      <w:spacing w:after="160" w:line="259" w:lineRule="auto"/>
      <w:ind w:left="720"/>
      <w:contextualSpacing/>
    </w:pPr>
    <w:rPr>
      <w:rFonts w:asciiTheme="minorHAnsi" w:eastAsiaTheme="minorHAnsi" w:hAnsiTheme="minorHAnsi" w:cstheme="minorBidi"/>
      <w:kern w:val="2"/>
      <w:sz w:val="22"/>
      <w:szCs w:val="22"/>
      <w:lang w:val="en-US" w:eastAsia="en-US"/>
      <w14:ligatures w14:val="standardContextual"/>
    </w:rPr>
  </w:style>
  <w:style w:type="character" w:styleId="IntenseEmphasis">
    <w:name w:val="Intense Emphasis"/>
    <w:basedOn w:val="DefaultParagraphFont"/>
    <w:uiPriority w:val="21"/>
    <w:qFormat/>
    <w:rsid w:val="00125248"/>
    <w:rPr>
      <w:i/>
      <w:iCs/>
      <w:color w:val="0F4761" w:themeColor="accent1" w:themeShade="BF"/>
    </w:rPr>
  </w:style>
  <w:style w:type="paragraph" w:styleId="IntenseQuote">
    <w:name w:val="Intense Quote"/>
    <w:basedOn w:val="Normal"/>
    <w:next w:val="Normal"/>
    <w:link w:val="IntenseQuoteChar"/>
    <w:uiPriority w:val="30"/>
    <w:qFormat/>
    <w:rsid w:val="00125248"/>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n-US" w:eastAsia="en-US"/>
      <w14:ligatures w14:val="standardContextual"/>
    </w:rPr>
  </w:style>
  <w:style w:type="character" w:customStyle="1" w:styleId="IntenseQuoteChar">
    <w:name w:val="Intense Quote Char"/>
    <w:basedOn w:val="DefaultParagraphFont"/>
    <w:link w:val="IntenseQuote"/>
    <w:uiPriority w:val="30"/>
    <w:rsid w:val="00125248"/>
    <w:rPr>
      <w:i/>
      <w:iCs/>
      <w:color w:val="0F4761" w:themeColor="accent1" w:themeShade="BF"/>
    </w:rPr>
  </w:style>
  <w:style w:type="character" w:styleId="IntenseReference">
    <w:name w:val="Intense Reference"/>
    <w:basedOn w:val="DefaultParagraphFont"/>
    <w:uiPriority w:val="32"/>
    <w:qFormat/>
    <w:rsid w:val="00125248"/>
    <w:rPr>
      <w:b/>
      <w:bCs/>
      <w:smallCaps/>
      <w:color w:val="0F4761" w:themeColor="accent1" w:themeShade="BF"/>
      <w:spacing w:val="5"/>
    </w:rPr>
  </w:style>
  <w:style w:type="paragraph" w:styleId="Header">
    <w:name w:val="header"/>
    <w:basedOn w:val="Normal"/>
    <w:link w:val="HeaderChar"/>
    <w:uiPriority w:val="99"/>
    <w:unhideWhenUsed/>
    <w:rsid w:val="00125248"/>
    <w:pPr>
      <w:tabs>
        <w:tab w:val="center" w:pos="4513"/>
        <w:tab w:val="right" w:pos="9026"/>
      </w:tabs>
    </w:pPr>
    <w:rPr>
      <w:rFonts w:asciiTheme="minorHAnsi" w:eastAsiaTheme="minorHAnsi" w:hAnsiTheme="minorHAnsi" w:cstheme="minorBidi"/>
      <w:kern w:val="2"/>
      <w:lang w:val="en-US" w:eastAsia="en-US"/>
      <w14:ligatures w14:val="standardContextual"/>
    </w:rPr>
  </w:style>
  <w:style w:type="character" w:customStyle="1" w:styleId="HeaderChar">
    <w:name w:val="Header Char"/>
    <w:basedOn w:val="DefaultParagraphFont"/>
    <w:link w:val="Header"/>
    <w:uiPriority w:val="99"/>
    <w:rsid w:val="00125248"/>
    <w:rPr>
      <w:sz w:val="24"/>
      <w:szCs w:val="24"/>
    </w:rPr>
  </w:style>
  <w:style w:type="paragraph" w:styleId="Footer">
    <w:name w:val="footer"/>
    <w:basedOn w:val="Normal"/>
    <w:link w:val="FooterChar"/>
    <w:uiPriority w:val="99"/>
    <w:unhideWhenUsed/>
    <w:rsid w:val="00125248"/>
    <w:pPr>
      <w:tabs>
        <w:tab w:val="center" w:pos="4513"/>
        <w:tab w:val="right" w:pos="9026"/>
      </w:tabs>
    </w:pPr>
    <w:rPr>
      <w:rFonts w:asciiTheme="minorHAnsi" w:eastAsiaTheme="minorHAnsi" w:hAnsiTheme="minorHAnsi" w:cstheme="minorBidi"/>
      <w:kern w:val="2"/>
      <w:lang w:val="en-US" w:eastAsia="en-US"/>
      <w14:ligatures w14:val="standardContextual"/>
    </w:rPr>
  </w:style>
  <w:style w:type="character" w:customStyle="1" w:styleId="FooterChar">
    <w:name w:val="Footer Char"/>
    <w:basedOn w:val="DefaultParagraphFont"/>
    <w:link w:val="Footer"/>
    <w:uiPriority w:val="99"/>
    <w:rsid w:val="00125248"/>
    <w:rPr>
      <w:sz w:val="24"/>
      <w:szCs w:val="24"/>
    </w:rPr>
  </w:style>
  <w:style w:type="table" w:styleId="GridTable1Light">
    <w:name w:val="Grid Table 1 Light"/>
    <w:basedOn w:val="TableNormal"/>
    <w:uiPriority w:val="46"/>
    <w:rsid w:val="00125248"/>
    <w:pPr>
      <w:spacing w:after="0" w:line="240" w:lineRule="auto"/>
    </w:pPr>
    <w:rPr>
      <w:sz w:val="24"/>
      <w:szCs w:val="24"/>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oter" Target="footer1.xml"/><Relationship Id="rId5" Type="http://schemas.openxmlformats.org/officeDocument/2006/relationships/image" Target="media/image2.png"/><Relationship Id="rId10" Type="http://schemas.openxmlformats.org/officeDocument/2006/relationships/header" Target="header1.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2371</Words>
  <Characters>13520</Characters>
  <Application>Microsoft Office Word</Application>
  <DocSecurity>0</DocSecurity>
  <Lines>112</Lines>
  <Paragraphs>31</Paragraphs>
  <ScaleCrop>false</ScaleCrop>
  <Company>Springer Nature</Company>
  <LinksUpToDate>false</LinksUpToDate>
  <CharactersWithSpaces>15860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2025-01-01T07:45:00Z</dcterms:created>
  <dcterms:modified xsi:type="dcterms:W3CDTF">2025-01-01T07:45:00Z</dcterms:modified>
</cp:coreProperties>
</file>