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B3F18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hint="eastAsia"/>
        </w:rPr>
        <w:drawing>
          <wp:inline distT="0" distB="0" distL="0" distR="0">
            <wp:extent cx="5274310" cy="5712460"/>
            <wp:effectExtent l="0" t="0" r="2540" b="2540"/>
            <wp:docPr id="20787183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18368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5F804141">
      <w:pPr>
        <w:widowControl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>8.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 w:val="24"/>
        </w:rPr>
        <w:t>Representative FACS plots illustrating the gating strategy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.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Gates for lymphocytes/single cells/live cells/CD45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ascii="Times New Roman" w:hAnsi="Times New Roman"/>
          <w:color w:val="000000"/>
          <w:kern w:val="0"/>
          <w:sz w:val="24"/>
        </w:rPr>
        <w:t xml:space="preserve"> cells/CD</w:t>
      </w:r>
      <w:r>
        <w:rPr>
          <w:rFonts w:hint="eastAsia" w:ascii="Times New Roman" w:hAnsi="Times New Roman"/>
          <w:color w:val="000000"/>
          <w:kern w:val="0"/>
          <w:sz w:val="24"/>
        </w:rPr>
        <w:t>4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ascii="Times New Roman" w:hAnsi="Times New Roman"/>
          <w:color w:val="000000"/>
          <w:kern w:val="0"/>
          <w:sz w:val="24"/>
        </w:rPr>
        <w:t>T cells/CD8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ascii="Times New Roman" w:hAnsi="Times New Roman"/>
          <w:color w:val="000000"/>
          <w:kern w:val="0"/>
          <w:sz w:val="24"/>
        </w:rPr>
        <w:t>T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</w:t>
      </w:r>
      <w:r>
        <w:rPr>
          <w:rFonts w:ascii="Times New Roman" w:hAnsi="Times New Roman"/>
          <w:color w:val="000000"/>
          <w:kern w:val="0"/>
          <w:sz w:val="24"/>
        </w:rPr>
        <w:t>ells/</w:t>
      </w:r>
      <w:r>
        <w:rPr>
          <w:rFonts w:hint="eastAsia" w:ascii="Times New Roman" w:hAnsi="Times New Roman"/>
          <w:color w:val="000000"/>
          <w:kern w:val="0"/>
          <w:sz w:val="24"/>
        </w:rPr>
        <w:t>CD11b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>F480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cells/Dil+</w:t>
      </w:r>
      <w:r>
        <w:rPr>
          <w:rFonts w:ascii="Times New Roman" w:hAnsi="Times New Roman"/>
          <w:color w:val="000000"/>
          <w:kern w:val="0"/>
          <w:sz w:val="24"/>
        </w:rPr>
        <w:t xml:space="preserve"> cells are indicated, as well as the percentage of events.</w:t>
      </w:r>
    </w:p>
    <w:p w14:paraId="4F522B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4"/>
          <w:lang w:val="en-US" w:eastAsia="zh-CN" w:bidi="ar"/>
        </w:rPr>
      </w:pPr>
    </w:p>
    <w:p w14:paraId="78F9174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等线" w:hAnsi="等线" w:eastAsia="等线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3752850" cy="2124075"/>
            <wp:effectExtent l="0" t="0" r="0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746A9C0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S9.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The uptake capacity of </w:t>
      </w:r>
      <w:r>
        <w:rPr>
          <w:rFonts w:hint="default" w:ascii="Times New Roman" w:hAnsi="Times New Roman" w:eastAsia="等线" w:cs="Times New Roman"/>
          <w:b/>
          <w:bCs/>
          <w:i/>
          <w:iCs w:val="0"/>
          <w:kern w:val="2"/>
          <w:sz w:val="24"/>
          <w:szCs w:val="24"/>
          <w:lang w:val="en-US" w:eastAsia="zh-CN" w:bidi="ar"/>
        </w:rPr>
        <w:t>F.p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 EVs by immune cells in the cLP.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(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) </w:t>
      </w:r>
      <w:r>
        <w:rPr>
          <w:rFonts w:hint="default" w:ascii="Times New Roman" w:hAnsi="Times New Roman" w:eastAsia="等线" w:cs="Times New Roman"/>
          <w:color w:val="333333"/>
          <w:kern w:val="2"/>
          <w:sz w:val="24"/>
          <w:szCs w:val="24"/>
          <w:shd w:val="clear" w:fill="FFFFFF"/>
          <w:lang w:val="en-US" w:eastAsia="zh-CN" w:bidi="ar"/>
        </w:rPr>
        <w:t>Mean Fluorescence Intensity (MFI) analysis shows t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he different uptake capacities of </w:t>
      </w:r>
      <w:r>
        <w:rPr>
          <w:rFonts w:hint="default" w:ascii="Times New Roman" w:hAnsi="Times New Roman" w:eastAsia="等线" w:cs="Times New Roman"/>
          <w:i/>
          <w:iCs w:val="0"/>
          <w:kern w:val="2"/>
          <w:sz w:val="24"/>
          <w:szCs w:val="24"/>
          <w:lang w:val="en-US" w:eastAsia="zh-CN" w:bidi="ar"/>
        </w:rPr>
        <w:t>F.p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EVs by CD4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 cells, CD8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 cells, and CD11b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F480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+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macrophages. (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B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) </w:t>
      </w:r>
      <w:r>
        <w:rPr>
          <w:rFonts w:hint="default" w:ascii="Times New Roman" w:hAnsi="Times New Roman" w:eastAsia="等线" w:cs="Times New Roman"/>
          <w:color w:val="333333"/>
          <w:kern w:val="2"/>
          <w:sz w:val="24"/>
          <w:szCs w:val="24"/>
          <w:shd w:val="clear" w:fill="FFFFFF"/>
          <w:lang w:val="en-US" w:eastAsia="zh-CN" w:bidi="ar"/>
        </w:rPr>
        <w:t>MFI analysis shows t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he </w:t>
      </w:r>
      <w:r>
        <w:rPr>
          <w:rFonts w:hint="default" w:ascii="Times New Roman" w:hAnsi="Times New Roman" w:eastAsia="等线" w:cs="Times New Roman"/>
          <w:i/>
          <w:iCs w:val="0"/>
          <w:kern w:val="2"/>
          <w:sz w:val="24"/>
          <w:szCs w:val="24"/>
          <w:lang w:val="en-US" w:eastAsia="zh-CN" w:bidi="ar"/>
        </w:rPr>
        <w:t>F.p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EVs uptake ratio of macrophages of 12/18/24/36 hours post-intragastric injection.</w:t>
      </w:r>
      <w:r>
        <w:rPr>
          <w:rFonts w:hint="default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 One-way ANOVA was used to calculate p values ns, not significant; *P &lt; 0.05, **P &lt; 0.01, ***P &lt; 0.001 and ****P &lt; 0.0001.</w:t>
      </w:r>
    </w:p>
    <w:p w14:paraId="5F8BD35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394F3B17">
      <w:pPr>
        <w:rPr>
          <w:rFonts w:hint="eastAsia"/>
        </w:rPr>
      </w:pPr>
    </w:p>
    <w:p w14:paraId="7AA0FEB0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2600325" cy="2628900"/>
            <wp:effectExtent l="0" t="0" r="9525" b="0"/>
            <wp:docPr id="13645996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99658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0D57A40C">
      <w:pPr>
        <w:rPr>
          <w:rFonts w:ascii="Times New Roman" w:hAnsi="Times New Roman" w:eastAsia="等线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>10.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</w:rPr>
        <w:t xml:space="preserve">Flow cytometric analysis of </w:t>
      </w:r>
      <w:r>
        <w:rPr>
          <w:rFonts w:ascii="Times New Roman" w:hAnsi="Times New Roman" w:eastAsia="等线"/>
          <w:b/>
          <w:bCs/>
          <w:sz w:val="24"/>
        </w:rPr>
        <w:t xml:space="preserve">bone marrow-derived macrophages (BMDMs). </w:t>
      </w:r>
      <w:r>
        <w:rPr>
          <w:rFonts w:ascii="Times New Roman" w:hAnsi="Times New Roman"/>
          <w:color w:val="000000"/>
          <w:sz w:val="24"/>
        </w:rPr>
        <w:t>Fluorescence-activated cell sorting (FACS) analysis showing the percentage of CD11b</w:t>
      </w:r>
      <w:r>
        <w:rPr>
          <w:rFonts w:ascii="Times New Roman" w:hAnsi="Times New Roman"/>
          <w:color w:val="000000"/>
          <w:sz w:val="24"/>
          <w:vertAlign w:val="superscript"/>
        </w:rPr>
        <w:t>+</w:t>
      </w:r>
      <w:r>
        <w:rPr>
          <w:rFonts w:ascii="Times New Roman" w:hAnsi="Times New Roman"/>
          <w:color w:val="000000"/>
          <w:sz w:val="24"/>
        </w:rPr>
        <w:t>F480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+ </w:t>
      </w:r>
      <w:r>
        <w:rPr>
          <w:rFonts w:ascii="Times New Roman" w:hAnsi="Times New Roman"/>
          <w:color w:val="000000"/>
          <w:sz w:val="24"/>
        </w:rPr>
        <w:t>cells in the BMDMs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763D0871">
      <w:pPr>
        <w:rPr>
          <w:rFonts w:ascii="Times New Roman" w:hAnsi="Times New Roman" w:eastAsia="宋体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E79DE1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4493EA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1E4467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EwMTG2NDE1MzU2NDZV0lEKTi0uzszPAykwrAUA0GqoOiwAAAA="/>
    <w:docVar w:name="commondata" w:val="eyJoZGlkIjoiMGI4YTY2NzNjYzhhMDBjYjhiZDFjNDRhZjk5ZjcyM2MifQ=="/>
  </w:docVars>
  <w:rsids>
    <w:rsidRoot w:val="006F2A60"/>
    <w:rsid w:val="004647EC"/>
    <w:rsid w:val="00526358"/>
    <w:rsid w:val="00530DBF"/>
    <w:rsid w:val="006F2A60"/>
    <w:rsid w:val="00861DAB"/>
    <w:rsid w:val="008C29BB"/>
    <w:rsid w:val="009B362D"/>
    <w:rsid w:val="00BF4EFF"/>
    <w:rsid w:val="07C03DF5"/>
    <w:rsid w:val="081E6D6D"/>
    <w:rsid w:val="150D257F"/>
    <w:rsid w:val="1A004525"/>
    <w:rsid w:val="1B010554"/>
    <w:rsid w:val="28237D5C"/>
    <w:rsid w:val="369D517D"/>
    <w:rsid w:val="3A0124D1"/>
    <w:rsid w:val="4C716A38"/>
    <w:rsid w:val="4E616639"/>
    <w:rsid w:val="50603626"/>
    <w:rsid w:val="54F77CF7"/>
    <w:rsid w:val="56E878F7"/>
    <w:rsid w:val="580249E9"/>
    <w:rsid w:val="65AC068A"/>
    <w:rsid w:val="6B454EC0"/>
    <w:rsid w:val="756D3991"/>
    <w:rsid w:val="794669D3"/>
    <w:rsid w:val="7B4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756</Characters>
  <Lines>7</Lines>
  <Paragraphs>2</Paragraphs>
  <TotalTime>0</TotalTime>
  <ScaleCrop>false</ScaleCrop>
  <LinksUpToDate>false</LinksUpToDate>
  <CharactersWithSpaces>888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2024-10-31T10:33:00Z</dcterms:created>
  <dc:creator>银雅 潘</dc:creator>
  <cp:lastModifiedBy>雅雅</cp:lastModifiedBy>
  <dcterms:modified xsi:type="dcterms:W3CDTF">2024-10-31T10:43:19Z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5537A4DFAA2745E5B8450DCD47EFACF9_13</vt:lpwstr>
  </property>
</Properties>
</file>