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B1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197DD0D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67325" cy="5829300"/>
            <wp:effectExtent l="0" t="0" r="0" b="0"/>
            <wp:docPr id="3994545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54539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5A0805C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S1</w:t>
      </w:r>
      <w:r>
        <w:rPr>
          <w:rFonts w:hint="eastAsia" w:ascii="Times New Roman" w:hAnsi="Times New Roman"/>
          <w:b/>
          <w:bCs/>
          <w:sz w:val="24"/>
        </w:rPr>
        <w:t xml:space="preserve">2.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inhibit the </w:t>
      </w:r>
      <w:r>
        <w:rPr>
          <w:rFonts w:ascii="Times New Roman" w:hAnsi="Times New Roman"/>
          <w:b/>
          <w:bCs/>
          <w:sz w:val="24"/>
        </w:rPr>
        <w:t>expressi</w:t>
      </w:r>
      <w:r>
        <w:rPr>
          <w:rFonts w:hint="eastAsia" w:ascii="Times New Roman" w:hAnsi="Times New Roman"/>
          <w:b/>
          <w:bCs/>
          <w:sz w:val="24"/>
        </w:rPr>
        <w:t xml:space="preserve">on of </w:t>
      </w:r>
      <w:r>
        <w:rPr>
          <w:rFonts w:ascii="Times New Roman" w:hAnsi="Times New Roman"/>
          <w:b/>
          <w:bCs/>
          <w:sz w:val="24"/>
        </w:rPr>
        <w:t>Monocyte Chemotactic chemokines</w:t>
      </w:r>
      <w:r>
        <w:rPr>
          <w:rFonts w:hint="eastAsia" w:ascii="Times New Roman" w:hAnsi="Times New Roman"/>
          <w:b/>
          <w:bCs/>
          <w:sz w:val="24"/>
        </w:rPr>
        <w:t xml:space="preserve"> in BMDMs. (A</w:t>
      </w:r>
      <w:r>
        <w:rPr>
          <w:rFonts w:hint="eastAsia" w:ascii="Times New Roman" w:hAnsi="Times New Roman"/>
          <w:sz w:val="24"/>
        </w:rPr>
        <w:t>)</w:t>
      </w:r>
      <w:r>
        <w:rPr>
          <w:rFonts w:hint="eastAsia" w:ascii="Times New Roman" w:hAnsi="Times New Roman"/>
          <w:color w:val="000000"/>
          <w:sz w:val="24"/>
        </w:rPr>
        <w:t xml:space="preserve"> Schematic illustration showing that BMDMs were cultured with 10/20/50ug </w:t>
      </w:r>
      <w:r>
        <w:rPr>
          <w:rFonts w:hint="eastAsia" w:ascii="Times New Roman" w:hAnsi="Times New Roman"/>
          <w:i/>
          <w:color w:val="000000"/>
          <w:sz w:val="24"/>
        </w:rPr>
        <w:t>F.p</w:t>
      </w:r>
      <w:r>
        <w:rPr>
          <w:rFonts w:hint="eastAsia" w:ascii="Times New Roman" w:hAnsi="Times New Roman"/>
          <w:color w:val="000000"/>
          <w:sz w:val="24"/>
        </w:rPr>
        <w:t xml:space="preserve"> EVs for 24h and then stimulated wi</w:t>
      </w:r>
      <w:r>
        <w:rPr>
          <w:rFonts w:ascii="Times New Roman" w:hAnsi="Times New Roman"/>
          <w:color w:val="000000"/>
          <w:sz w:val="24"/>
        </w:rPr>
        <w:t>th 1μg/ml</w:t>
      </w:r>
      <w:r>
        <w:rPr>
          <w:rFonts w:hint="eastAsia" w:ascii="Times New Roman" w:hAnsi="Times New Roman"/>
          <w:color w:val="000000"/>
          <w:sz w:val="24"/>
        </w:rPr>
        <w:t xml:space="preserve"> LPS for 6h.</w:t>
      </w:r>
      <w:r>
        <w:rPr>
          <w:rFonts w:ascii="Times New Roman" w:hAnsi="Times New Roman"/>
          <w:color w:val="000000"/>
          <w:sz w:val="24"/>
        </w:rPr>
        <w:t xml:space="preserve"> mRNA expression levels of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>hemotactic</w:t>
      </w:r>
      <w:r>
        <w:rPr>
          <w:rFonts w:ascii="Times New Roman" w:hAnsi="Times New Roman"/>
          <w:color w:val="000000"/>
          <w:sz w:val="24"/>
        </w:rPr>
        <w:t xml:space="preserve"> including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CCL2 (B), CCL3 (C), CCL5(D), CCL7(E), CCL8(F) </w:t>
      </w:r>
      <w:r>
        <w:rPr>
          <w:rFonts w:ascii="Times New Roman" w:hAnsi="Times New Roman"/>
          <w:color w:val="000000"/>
          <w:kern w:val="0"/>
          <w:sz w:val="24"/>
        </w:rPr>
        <w:t xml:space="preserve">in </w:t>
      </w:r>
      <w:r>
        <w:rPr>
          <w:rFonts w:hint="eastAsia" w:ascii="Times New Roman" w:hAnsi="Times New Roman"/>
          <w:color w:val="000000"/>
          <w:kern w:val="0"/>
          <w:sz w:val="24"/>
        </w:rPr>
        <w:t>BMDMs</w:t>
      </w:r>
      <w:r>
        <w:rPr>
          <w:rFonts w:ascii="Times New Roman" w:hAnsi="Times New Roman"/>
          <w:color w:val="000000"/>
          <w:sz w:val="24"/>
        </w:rPr>
        <w:t>. GAPDH was used as the reference gene. One-way ANOVA was used to calculate p values ns, not significant; *P &lt; 0.0</w:t>
      </w:r>
      <w:r>
        <w:rPr>
          <w:rFonts w:hint="eastAsia" w:ascii="Times New Roman" w:hAnsi="Times New Roman"/>
          <w:color w:val="000000"/>
          <w:sz w:val="24"/>
        </w:rPr>
        <w:t>5,</w:t>
      </w:r>
      <w:r>
        <w:rPr>
          <w:rFonts w:ascii="Times New Roman" w:hAnsi="Times New Roman"/>
          <w:color w:val="000000"/>
          <w:sz w:val="24"/>
        </w:rPr>
        <w:t xml:space="preserve"> **P &lt; 0.01, ***P &lt; 0.001</w:t>
      </w:r>
      <w:r>
        <w:rPr>
          <w:rFonts w:hint="eastAsia" w:ascii="Times New Roman" w:hAnsi="Times New Roman"/>
          <w:color w:val="000000"/>
          <w:sz w:val="24"/>
        </w:rPr>
        <w:t xml:space="preserve"> and *</w:t>
      </w:r>
      <w:r>
        <w:rPr>
          <w:rFonts w:ascii="Times New Roman" w:hAnsi="Times New Roman"/>
          <w:color w:val="000000"/>
          <w:sz w:val="24"/>
        </w:rPr>
        <w:t>***P &lt; 0.00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5DFC18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2NzNjYzhhMDBjYjhiZDFjNDRhZjk5ZjcyM2MifQ=="/>
  </w:docVars>
  <w:rsids>
    <w:rsidRoot w:val="446D72EF"/>
    <w:rsid w:val="446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2024-10-31T10:44:00Z</dcterms:created>
  <dc:creator>雅雅</dc:creator>
  <cp:lastModifiedBy>雅雅</cp:lastModifiedBy>
  <dcterms:modified xsi:type="dcterms:W3CDTF">2024-10-31T10:44:50Z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3DAA026ED6C142C9958641DF38B1EB6D_11</vt:lpwstr>
  </property>
</Properties>
</file>