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CF579D" w14:textId="77777777" w:rsidR="00B72EAD" w:rsidRDefault="00B72EAD" w:rsidP="00B72EAD">
      <w:pPr>
        <w:pStyle w:val="NormalWeb"/>
        <w:widowControl/>
        <w:spacing w:beforeAutospacing="0" w:afterAutospacing="0"/>
        <w:rPr>
          <w:rFonts w:ascii="Times New Roman" w:eastAsia="DengXian" w:hAnsi="Times New Roman"/>
          <w:color w:val="000000"/>
          <w:kern w:val="24"/>
          <w:sz w:val="21"/>
          <w:szCs w:val="21"/>
        </w:rPr>
      </w:pPr>
      <w:r>
        <w:rPr>
          <w:rFonts w:ascii="Times New Roman Bold" w:hAnsi="Times New Roman Bold" w:cs="Times New Roman Bold" w:hint="eastAsia"/>
          <w:b/>
          <w:bCs/>
          <w:sz w:val="21"/>
          <w:szCs w:val="21"/>
        </w:rPr>
        <w:t xml:space="preserve">Supplementary </w:t>
      </w:r>
      <w:r>
        <w:rPr>
          <w:rFonts w:ascii="Times New Roman" w:eastAsia="DengXian" w:hAnsi="Times New Roman"/>
          <w:b/>
          <w:bCs/>
          <w:color w:val="000000"/>
          <w:kern w:val="24"/>
          <w:sz w:val="21"/>
          <w:szCs w:val="21"/>
        </w:rPr>
        <w:t xml:space="preserve">Fig 1. Gene expression profiles between gingival (GIN) and alveolar (ALV) mucosa. (a) </w:t>
      </w:r>
      <w:r>
        <w:rPr>
          <w:rFonts w:ascii="Times New Roman" w:eastAsia="DengXian" w:hAnsi="Times New Roman"/>
          <w:color w:val="000000"/>
          <w:kern w:val="24"/>
          <w:sz w:val="21"/>
          <w:szCs w:val="21"/>
        </w:rPr>
        <w:t xml:space="preserve">Boxplot shows gene expression distributions in GIN and ALV samples, with higher median expression in GIN. </w:t>
      </w:r>
      <w:r>
        <w:rPr>
          <w:rFonts w:ascii="Times New Roman" w:eastAsia="DengXian" w:hAnsi="Times New Roman"/>
          <w:b/>
          <w:bCs/>
          <w:color w:val="000000"/>
          <w:kern w:val="24"/>
          <w:sz w:val="21"/>
          <w:szCs w:val="21"/>
        </w:rPr>
        <w:t>(b</w:t>
      </w:r>
      <w:r>
        <w:rPr>
          <w:rFonts w:ascii="Times New Roman" w:eastAsia="DengXian" w:hAnsi="Times New Roman"/>
          <w:color w:val="000000"/>
          <w:kern w:val="24"/>
          <w:sz w:val="21"/>
          <w:szCs w:val="21"/>
        </w:rPr>
        <w:t xml:space="preserve">) Principal Component Analysis (PCA) plot visualizing gene expression clustering in GIN versus ALV samples. </w:t>
      </w:r>
      <w:r>
        <w:rPr>
          <w:rFonts w:ascii="Times New Roman" w:eastAsia="DengXian" w:hAnsi="Times New Roman"/>
          <w:b/>
          <w:bCs/>
          <w:color w:val="000000"/>
          <w:kern w:val="24"/>
          <w:sz w:val="21"/>
          <w:szCs w:val="21"/>
        </w:rPr>
        <w:t>(c)</w:t>
      </w:r>
      <w:r>
        <w:rPr>
          <w:rFonts w:ascii="Times New Roman" w:eastAsia="DengXian" w:hAnsi="Times New Roman"/>
          <w:color w:val="000000"/>
          <w:kern w:val="24"/>
          <w:sz w:val="21"/>
          <w:szCs w:val="21"/>
        </w:rPr>
        <w:t xml:space="preserve"> Volcano Plot highlights differential gene expression between GIN and ALV. </w:t>
      </w:r>
      <w:r>
        <w:rPr>
          <w:rFonts w:ascii="Times New Roman" w:eastAsia="DengXian" w:hAnsi="Times New Roman"/>
          <w:b/>
          <w:bCs/>
          <w:color w:val="000000"/>
          <w:kern w:val="24"/>
          <w:sz w:val="21"/>
          <w:szCs w:val="21"/>
        </w:rPr>
        <w:t>(d)</w:t>
      </w:r>
      <w:r>
        <w:rPr>
          <w:rFonts w:ascii="Times New Roman" w:eastAsia="DengXian" w:hAnsi="Times New Roman"/>
          <w:color w:val="000000"/>
          <w:kern w:val="24"/>
          <w:sz w:val="21"/>
          <w:szCs w:val="21"/>
        </w:rPr>
        <w:t xml:space="preserve"> Heatmap displays gene expression differences between GIN and ALV. </w:t>
      </w:r>
    </w:p>
    <w:p w14:paraId="39612E74" w14:textId="4FE82D0F" w:rsidR="00B72EAD" w:rsidRDefault="00B72EAD" w:rsidP="00B72EAD">
      <w:pPr>
        <w:widowControl/>
        <w:rPr>
          <w:rFonts w:ascii="Times New Roman" w:eastAsia="DengXian" w:hAnsi="Times New Roman"/>
          <w:color w:val="000000"/>
          <w:kern w:val="24"/>
          <w:szCs w:val="21"/>
        </w:rPr>
      </w:pPr>
    </w:p>
    <w:p w14:paraId="603FDAE6" w14:textId="77777777" w:rsidR="00B72EAD" w:rsidRDefault="00B72EAD" w:rsidP="00B72EAD">
      <w:pPr>
        <w:rPr>
          <w:rFonts w:ascii="Times New Roman" w:hAnsi="Times New Roman" w:cs="Times New Roman"/>
          <w:szCs w:val="21"/>
        </w:rPr>
      </w:pPr>
      <w:r>
        <w:rPr>
          <w:rFonts w:ascii="Times New Roman Bold" w:hAnsi="Times New Roman Bold" w:cs="Times New Roman Bold" w:hint="eastAsia"/>
          <w:b/>
          <w:bCs/>
          <w:szCs w:val="21"/>
        </w:rPr>
        <w:t>Supplementary Fig</w:t>
      </w:r>
      <w:r>
        <w:rPr>
          <w:rFonts w:ascii="Times New Roman Bold" w:hAnsi="Times New Roman Bold" w:cs="Times New Roman Bold"/>
          <w:b/>
          <w:bCs/>
          <w:szCs w:val="21"/>
        </w:rPr>
        <w:t xml:space="preserve"> </w:t>
      </w:r>
      <w:r>
        <w:rPr>
          <w:rFonts w:ascii="Times New Roman Bold" w:hAnsi="Times New Roman Bold" w:cs="Times New Roman Bold" w:hint="eastAsia"/>
          <w:b/>
          <w:bCs/>
          <w:szCs w:val="21"/>
        </w:rPr>
        <w:t>2. Differential gene profiles between gingival (GIN) and alveolar (ALV) mucosa.</w:t>
      </w:r>
      <w:r>
        <w:rPr>
          <w:rFonts w:ascii="Times New Roman Bold" w:hAnsi="Times New Roman Bold" w:cs="Times New Roman Bold"/>
          <w:szCs w:val="21"/>
        </w:rPr>
        <w:t xml:space="preserve"> </w:t>
      </w:r>
      <w:r>
        <w:rPr>
          <w:rFonts w:ascii="Times New Roman Bold" w:hAnsi="Times New Roman Bold" w:cs="Times New Roman Bold" w:hint="eastAsia"/>
          <w:szCs w:val="21"/>
        </w:rPr>
        <w:t xml:space="preserve">(a) </w:t>
      </w:r>
      <w:r>
        <w:rPr>
          <w:rFonts w:ascii="Times New Roman" w:hAnsi="Times New Roman" w:cs="Times New Roman"/>
          <w:szCs w:val="21"/>
        </w:rPr>
        <w:t>GO level 2 classification of upregulated genes in GIN.</w:t>
      </w:r>
      <w:r>
        <w:rPr>
          <w:rFonts w:ascii="Times New Roman Bold" w:hAnsi="Times New Roman Bold" w:cs="Times New Roman Bold"/>
          <w:szCs w:val="21"/>
        </w:rPr>
        <w:t xml:space="preserve"> </w:t>
      </w:r>
      <w:r>
        <w:rPr>
          <w:rFonts w:ascii="Times New Roman Bold" w:hAnsi="Times New Roman Bold" w:cs="Times New Roman Bold" w:hint="eastAsia"/>
          <w:szCs w:val="21"/>
        </w:rPr>
        <w:t xml:space="preserve">(b) </w:t>
      </w:r>
      <w:r>
        <w:rPr>
          <w:rFonts w:ascii="Times New Roman" w:hAnsi="Times New Roman" w:cs="Times New Roman"/>
          <w:szCs w:val="21"/>
        </w:rPr>
        <w:t>KEGG pathway classification of upregulated genes in GIN.</w:t>
      </w:r>
      <w:r>
        <w:rPr>
          <w:rFonts w:ascii="Times New Roman Bold" w:hAnsi="Times New Roman Bold" w:cs="Times New Roman Bold"/>
          <w:szCs w:val="21"/>
        </w:rPr>
        <w:t xml:space="preserve"> </w:t>
      </w:r>
      <w:r>
        <w:rPr>
          <w:rFonts w:ascii="Times New Roman Bold" w:hAnsi="Times New Roman Bold" w:cs="Times New Roman Bold" w:hint="eastAsia"/>
          <w:szCs w:val="21"/>
        </w:rPr>
        <w:t xml:space="preserve">(c) </w:t>
      </w:r>
      <w:r>
        <w:rPr>
          <w:rFonts w:ascii="Times New Roman" w:hAnsi="Times New Roman" w:cs="Times New Roman"/>
          <w:szCs w:val="21"/>
        </w:rPr>
        <w:t xml:space="preserve">GO level 2 classification of downregulated genes in GIN. </w:t>
      </w:r>
      <w:r>
        <w:rPr>
          <w:rFonts w:ascii="Times New Roman Bold" w:hAnsi="Times New Roman Bold" w:cs="Times New Roman Bold" w:hint="eastAsia"/>
          <w:szCs w:val="21"/>
        </w:rPr>
        <w:t xml:space="preserve">(d) </w:t>
      </w:r>
      <w:r>
        <w:rPr>
          <w:rFonts w:ascii="Times New Roman" w:hAnsi="Times New Roman" w:cs="Times New Roman"/>
          <w:szCs w:val="21"/>
        </w:rPr>
        <w:t>KEGG pathway classification of downregulated genes in GIN.</w:t>
      </w:r>
    </w:p>
    <w:p w14:paraId="459B81CF" w14:textId="19157A15" w:rsidR="00B72EAD" w:rsidRDefault="00B72EAD" w:rsidP="00B72EAD">
      <w:pPr>
        <w:rPr>
          <w:rFonts w:ascii="Times New Roman Bold" w:hAnsi="Times New Roman Bold" w:cs="Times New Roman Bold"/>
          <w:szCs w:val="21"/>
        </w:rPr>
      </w:pPr>
    </w:p>
    <w:p w14:paraId="60DCEF9A" w14:textId="77777777" w:rsidR="00B72EAD" w:rsidRDefault="00B72EAD" w:rsidP="00B72EAD">
      <w:pPr>
        <w:rPr>
          <w:rFonts w:ascii="Times New Roman Bold" w:hAnsi="Times New Roman Bold" w:cs="Times New Roman Bold"/>
          <w:szCs w:val="21"/>
        </w:rPr>
      </w:pPr>
      <w:r>
        <w:rPr>
          <w:rFonts w:ascii="Times New Roman Bold" w:hAnsi="Times New Roman Bold" w:cs="Times New Roman Bold" w:hint="eastAsia"/>
          <w:b/>
          <w:bCs/>
          <w:szCs w:val="21"/>
        </w:rPr>
        <w:t xml:space="preserve">Supplementary Fig. 3. </w:t>
      </w:r>
      <w:r>
        <w:rPr>
          <w:rFonts w:ascii="Times New Roman Bold" w:hAnsi="Times New Roman Bold" w:cs="Times New Roman Bold" w:hint="eastAsia"/>
          <w:szCs w:val="21"/>
        </w:rPr>
        <w:t>GSEA results related to the extracellular matrix (a, b) and the complement system (c, d).</w:t>
      </w:r>
    </w:p>
    <w:p w14:paraId="79CFB5E4" w14:textId="16E0DC23" w:rsidR="00B72EAD" w:rsidRDefault="00B72EAD" w:rsidP="00B72EAD">
      <w:pPr>
        <w:rPr>
          <w:rFonts w:ascii="Times New Roman Bold" w:hAnsi="Times New Roman Bold" w:cs="Times New Roman Bold"/>
          <w:szCs w:val="21"/>
        </w:rPr>
      </w:pPr>
    </w:p>
    <w:p w14:paraId="3081E7E9" w14:textId="77777777" w:rsidR="00B72EAD" w:rsidRDefault="00B72EAD" w:rsidP="00B72EAD">
      <w:pPr>
        <w:widowControl/>
        <w:jc w:val="left"/>
        <w:rPr>
          <w:rFonts w:ascii="Times New Roman Bold" w:eastAsia="SimSun" w:hAnsi="Times New Roman Bold" w:cs="Times New Roman Bold"/>
          <w:b/>
          <w:bCs/>
          <w:kern w:val="0"/>
          <w:szCs w:val="21"/>
          <w:lang w:bidi="ar"/>
        </w:rPr>
      </w:pPr>
      <w:r>
        <w:rPr>
          <w:rFonts w:ascii="Times New Roman Bold" w:hAnsi="Times New Roman Bold" w:cs="Times New Roman Bold"/>
          <w:b/>
          <w:bCs/>
          <w:szCs w:val="21"/>
        </w:rPr>
        <w:t xml:space="preserve">Supplementary </w:t>
      </w:r>
      <w:r>
        <w:rPr>
          <w:rFonts w:ascii="Times New Roman Bold" w:eastAsia="DengXian" w:hAnsi="Times New Roman Bold" w:cs="Times New Roman Bold"/>
          <w:b/>
          <w:bCs/>
          <w:color w:val="000000"/>
          <w:kern w:val="24"/>
          <w:szCs w:val="21"/>
        </w:rPr>
        <w:t xml:space="preserve">Fig </w:t>
      </w:r>
      <w:r>
        <w:rPr>
          <w:rFonts w:ascii="Times New Roman Bold" w:eastAsia="DengXian" w:hAnsi="Times New Roman Bold" w:cs="Times New Roman Bold" w:hint="eastAsia"/>
          <w:b/>
          <w:bCs/>
          <w:color w:val="000000"/>
          <w:kern w:val="24"/>
          <w:szCs w:val="21"/>
        </w:rPr>
        <w:t>4</w:t>
      </w:r>
      <w:r>
        <w:rPr>
          <w:rFonts w:ascii="Times New Roman Bold" w:eastAsia="DengXian" w:hAnsi="Times New Roman Bold" w:cs="Times New Roman Bold"/>
          <w:b/>
          <w:bCs/>
          <w:color w:val="000000"/>
          <w:kern w:val="24"/>
          <w:szCs w:val="21"/>
        </w:rPr>
        <w:t xml:space="preserve">. </w:t>
      </w:r>
      <w:r>
        <w:rPr>
          <w:rFonts w:ascii="Times New Roman Bold" w:eastAsia="SimSun" w:hAnsi="Times New Roman Bold" w:cs="Times New Roman Bold"/>
          <w:b/>
          <w:bCs/>
          <w:kern w:val="0"/>
          <w:szCs w:val="21"/>
          <w:lang w:bidi="ar"/>
        </w:rPr>
        <w:t>Representative images of immunohistochemistry (IHC) results of GIN and ALV.</w:t>
      </w:r>
    </w:p>
    <w:p w14:paraId="02AAA7B2" w14:textId="77777777" w:rsidR="00B72EAD" w:rsidRDefault="00B72EAD" w:rsidP="00B72EAD">
      <w:pPr>
        <w:rPr>
          <w:rFonts w:ascii="Times New Roman Bold" w:hAnsi="Times New Roman Bold" w:cs="Times New Roman Bold"/>
          <w:szCs w:val="21"/>
        </w:rPr>
      </w:pPr>
    </w:p>
    <w:p w14:paraId="67F0072B" w14:textId="4B69E17D" w:rsidR="00B72EAD" w:rsidRDefault="00B72EAD" w:rsidP="00B72EAD">
      <w:pPr>
        <w:rPr>
          <w:rFonts w:ascii="Times New Roman Bold" w:eastAsia="DengXian" w:hAnsi="Times New Roman Bold" w:cs="Times New Roman Bold"/>
          <w:b/>
          <w:bCs/>
          <w:color w:val="000000"/>
          <w:kern w:val="24"/>
          <w:szCs w:val="21"/>
        </w:rPr>
      </w:pPr>
    </w:p>
    <w:p w14:paraId="7E4FDC9A" w14:textId="77777777" w:rsidR="00B72EAD" w:rsidRDefault="00B72EAD" w:rsidP="00B72EAD">
      <w:pPr>
        <w:rPr>
          <w:rFonts w:ascii="Times New Roman Bold" w:eastAsia="DengXian" w:hAnsi="Times New Roman Bold" w:cs="Times New Roman Bold"/>
          <w:b/>
          <w:bCs/>
          <w:color w:val="000000"/>
          <w:kern w:val="24"/>
          <w:szCs w:val="21"/>
        </w:rPr>
      </w:pPr>
      <w:r>
        <w:rPr>
          <w:rFonts w:ascii="Times New Roman Bold" w:hAnsi="Times New Roman Bold" w:cs="Times New Roman Bold" w:hint="eastAsia"/>
          <w:b/>
          <w:bCs/>
          <w:szCs w:val="21"/>
        </w:rPr>
        <w:t xml:space="preserve">Supplementary 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Cs w:val="21"/>
        </w:rPr>
        <w:t xml:space="preserve">Fig </w:t>
      </w:r>
      <w:r>
        <w:rPr>
          <w:rFonts w:ascii="Times New Roman" w:eastAsia="DengXian" w:hAnsi="Times New Roman" w:cs="Times New Roman" w:hint="eastAsia"/>
          <w:b/>
          <w:bCs/>
          <w:color w:val="000000"/>
          <w:kern w:val="24"/>
          <w:szCs w:val="21"/>
        </w:rPr>
        <w:t>5</w:t>
      </w:r>
      <w:r>
        <w:rPr>
          <w:rFonts w:ascii="Times New Roman" w:eastAsia="DengXian" w:hAnsi="Times New Roman" w:cs="Times New Roman"/>
          <w:b/>
          <w:bCs/>
          <w:color w:val="000000"/>
          <w:kern w:val="24"/>
          <w:szCs w:val="21"/>
        </w:rPr>
        <w:t xml:space="preserve">. </w:t>
      </w:r>
      <w:r>
        <w:rPr>
          <w:rFonts w:ascii="Times New Roman Bold" w:eastAsia="DengXian" w:hAnsi="Times New Roman Bold" w:cs="Times New Roman Bold"/>
          <w:b/>
          <w:bCs/>
          <w:color w:val="000000"/>
          <w:kern w:val="24"/>
          <w:szCs w:val="21"/>
        </w:rPr>
        <w:t>Immunofluorescence staining of COL</w:t>
      </w:r>
      <w:r>
        <w:rPr>
          <w:rFonts w:ascii="Times New Roman Bold" w:eastAsia="DengXian" w:hAnsi="Times New Roman Bold" w:cs="Times New Roman Bold" w:hint="eastAsia"/>
          <w:b/>
          <w:bCs/>
          <w:color w:val="000000"/>
          <w:kern w:val="24"/>
          <w:szCs w:val="21"/>
        </w:rPr>
        <w:t>3</w:t>
      </w:r>
      <w:r>
        <w:rPr>
          <w:rFonts w:ascii="Times New Roman Bold" w:eastAsia="DengXian" w:hAnsi="Times New Roman Bold" w:cs="Times New Roman Bold"/>
          <w:b/>
          <w:bCs/>
          <w:color w:val="000000"/>
          <w:kern w:val="24"/>
          <w:szCs w:val="21"/>
        </w:rPr>
        <w:t xml:space="preserve">, ADH and CYP26B1 in fibroblasts from GIN and ALV. </w:t>
      </w:r>
    </w:p>
    <w:p w14:paraId="58CF0AF0" w14:textId="37FC49C8" w:rsidR="00B72EAD" w:rsidRDefault="00B72EAD" w:rsidP="00B72EAD">
      <w:pPr>
        <w:rPr>
          <w:rFonts w:ascii="Times New Roman Bold" w:eastAsia="SimSun" w:hAnsi="Times New Roman Bold" w:cs="Times New Roman Bold"/>
          <w:b/>
          <w:bCs/>
          <w:kern w:val="0"/>
          <w:szCs w:val="21"/>
          <w:lang w:bidi="ar"/>
        </w:rPr>
      </w:pPr>
    </w:p>
    <w:p w14:paraId="457028D6" w14:textId="0455A37C" w:rsidR="00B72EAD" w:rsidRPr="00B72EAD" w:rsidRDefault="00B72EAD" w:rsidP="00B72EAD">
      <w:pPr>
        <w:rPr>
          <w:rFonts w:ascii="Times New Roman Bold" w:hAnsi="Times New Roman Bold" w:cs="Times New Roman Bold"/>
          <w:b/>
          <w:bCs/>
          <w:szCs w:val="21"/>
        </w:rPr>
      </w:pPr>
      <w:r>
        <w:rPr>
          <w:rFonts w:ascii="Times New Roman Bold" w:hAnsi="Times New Roman Bold" w:cs="Times New Roman Bold" w:hint="eastAsia"/>
          <w:b/>
          <w:bCs/>
          <w:szCs w:val="21"/>
        </w:rPr>
        <w:t>Supplementary Fig</w:t>
      </w:r>
      <w:r>
        <w:rPr>
          <w:rFonts w:ascii="Times New Roman Bold" w:hAnsi="Times New Roman Bold" w:cs="Times New Roman Bold"/>
          <w:b/>
          <w:bCs/>
          <w:szCs w:val="21"/>
        </w:rPr>
        <w:t xml:space="preserve"> </w:t>
      </w:r>
      <w:r>
        <w:rPr>
          <w:rFonts w:ascii="Times New Roman Bold" w:hAnsi="Times New Roman Bold" w:cs="Times New Roman Bold" w:hint="eastAsia"/>
          <w:b/>
          <w:bCs/>
          <w:szCs w:val="21"/>
        </w:rPr>
        <w:t>6. Representative images of HE and Masson's staining results for gingival (GIN) and alveolar (ALV) mucosa.</w:t>
      </w:r>
    </w:p>
    <w:p w14:paraId="7ADB736E" w14:textId="77777777" w:rsidR="00B72EAD" w:rsidRDefault="00B72EAD" w:rsidP="00B72EAD">
      <w:pPr>
        <w:pStyle w:val="NormalWeb"/>
        <w:widowControl/>
        <w:rPr>
          <w:rFonts w:ascii="Times New Roman Regular" w:hAnsi="Times New Roman Regular" w:cs="Times New Roman Regular"/>
          <w:sz w:val="21"/>
          <w:szCs w:val="21"/>
        </w:rPr>
      </w:pPr>
      <w:r>
        <w:rPr>
          <w:rFonts w:ascii="Times New Roman Bold" w:hAnsi="Times New Roman Bold" w:cs="Times New Roman Bold"/>
          <w:b/>
          <w:bCs/>
          <w:sz w:val="21"/>
          <w:szCs w:val="21"/>
        </w:rPr>
        <w:t xml:space="preserve">Supplementary </w:t>
      </w:r>
      <w:r>
        <w:rPr>
          <w:rFonts w:ascii="Times New Roman Bold" w:eastAsia="DengXian" w:hAnsi="Times New Roman Bold" w:cs="Times New Roman Bold"/>
          <w:b/>
          <w:bCs/>
          <w:color w:val="000000"/>
          <w:kern w:val="24"/>
          <w:sz w:val="21"/>
          <w:szCs w:val="21"/>
        </w:rPr>
        <w:t xml:space="preserve">Fig 7. </w:t>
      </w:r>
      <w:r>
        <w:rPr>
          <w:rFonts w:ascii="Times New Roman Bold" w:hAnsi="Times New Roman Bold" w:cs="Times New Roman Bold"/>
          <w:b/>
          <w:sz w:val="21"/>
          <w:szCs w:val="21"/>
        </w:rPr>
        <w:t xml:space="preserve">Representative images of tissue sample collection. </w:t>
      </w:r>
      <w:r>
        <w:rPr>
          <w:rFonts w:ascii="Times New Roman Bold" w:hAnsi="Times New Roman Bold" w:cs="Times New Roman Bold"/>
          <w:b/>
          <w:bCs/>
          <w:sz w:val="21"/>
          <w:szCs w:val="21"/>
        </w:rPr>
        <w:t>(a)</w:t>
      </w:r>
      <w:r>
        <w:rPr>
          <w:rFonts w:ascii="Times New Roman Regular" w:hAnsi="Times New Roman Regular" w:cs="Times New Roman Regular"/>
          <w:sz w:val="21"/>
          <w:szCs w:val="21"/>
        </w:rPr>
        <w:t xml:space="preserve"> Sampling sites for GIN and ALV</w:t>
      </w:r>
      <w:r>
        <w:rPr>
          <w:rFonts w:ascii="Times New Roman Regular" w:hAnsi="Times New Roman Regular" w:cs="Times New Roman Regular" w:hint="eastAsia"/>
          <w:sz w:val="21"/>
          <w:szCs w:val="21"/>
        </w:rPr>
        <w:t xml:space="preserve"> </w:t>
      </w:r>
      <w:r>
        <w:rPr>
          <w:rFonts w:ascii="Times New Roman Bold" w:hAnsi="Times New Roman Bold" w:cs="Times New Roman Bold"/>
          <w:b/>
          <w:bCs/>
          <w:sz w:val="21"/>
          <w:szCs w:val="21"/>
        </w:rPr>
        <w:t xml:space="preserve">(b) </w:t>
      </w:r>
      <w:r>
        <w:rPr>
          <w:rFonts w:ascii="Times New Roman Regular" w:hAnsi="Times New Roman Regular" w:cs="Times New Roman Regular"/>
          <w:sz w:val="21"/>
          <w:szCs w:val="21"/>
        </w:rPr>
        <w:t xml:space="preserve">Representative image of keratinized gingiva </w:t>
      </w:r>
      <w:r>
        <w:rPr>
          <w:rFonts w:ascii="Times New Roman Bold" w:hAnsi="Times New Roman Bold" w:cs="Times New Roman Bold"/>
          <w:b/>
          <w:bCs/>
          <w:sz w:val="21"/>
          <w:szCs w:val="21"/>
        </w:rPr>
        <w:t>(c)</w:t>
      </w:r>
      <w:r>
        <w:rPr>
          <w:rFonts w:ascii="Times New Roman Regular" w:hAnsi="Times New Roman Regular" w:cs="Times New Roman Regular"/>
          <w:sz w:val="21"/>
          <w:szCs w:val="21"/>
        </w:rPr>
        <w:t xml:space="preserve"> Representative image of non-keratinized gingiva.</w:t>
      </w:r>
    </w:p>
    <w:sectPr w:rsidR="00B72E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9" w:usb3="00000000" w:csb0="400001FF" w:csb1="FFFF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00000000" w:usb1="00000000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EAD"/>
    <w:rsid w:val="00331A6B"/>
    <w:rsid w:val="00755780"/>
    <w:rsid w:val="00857596"/>
    <w:rsid w:val="008B4F8F"/>
    <w:rsid w:val="00B72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46293"/>
  <w15:chartTrackingRefBased/>
  <w15:docId w15:val="{775CF9BB-33EE-419C-AE84-E2C0385CA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AD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2EAD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2EAD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2EAD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2EAD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2EAD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2EAD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2EAD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2EAD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2EAD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2E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2E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2E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2E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2E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2E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2E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2E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2E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2EA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2E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2EAD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2E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2EAD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2E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2EAD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2E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2EA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2E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2EA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B72EAD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1245</Characters>
  <Application>Microsoft Office Word</Application>
  <DocSecurity>0</DocSecurity>
  <Lines>10</Lines>
  <Paragraphs>2</Paragraphs>
  <ScaleCrop>false</ScaleCrop>
  <Company>Springer Nature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2024-11-14T02:23:00Z</dcterms:created>
  <dcterms:modified xsi:type="dcterms:W3CDTF">2024-11-14T02:24:00Z</dcterms:modified>
</cp:coreProperties>
</file>