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16069" w14:textId="77777777" w:rsidR="00273E5F" w:rsidRDefault="00273E5F" w:rsidP="00273E5F">
      <w:pPr>
        <w:rPr>
          <w:rFonts w:ascii="Arial" w:eastAsiaTheme="minorHAnsi" w:hAnsi="Arial" w:cs="Arial"/>
        </w:rPr>
      </w:pPr>
      <w:r>
        <w:rPr>
          <w:rFonts w:eastAsiaTheme="minorHAnsi"/>
          <w:noProof/>
        </w:rPr>
        <w:drawing>
          <wp:inline distT="0" distB="0" distL="0" distR="0" wp14:anchorId="4FF43164" wp14:editId="1409DD0D">
            <wp:extent cx="5028835" cy="6769586"/>
            <wp:effectExtent l="0" t="0" r="635" b="0"/>
            <wp:docPr id="1368548265" name="Picture 3" descr="A close-up of several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548265" name="Picture 3" descr="A close-up of several diagr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835" cy="676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C98AD" w14:textId="77777777" w:rsidR="00273E5F" w:rsidRDefault="00273E5F" w:rsidP="00273E5F">
      <w:pPr>
        <w:rPr>
          <w:rFonts w:ascii="Arial" w:eastAsiaTheme="minorHAnsi" w:hAnsi="Arial" w:cs="Arial"/>
        </w:rPr>
      </w:pPr>
    </w:p>
    <w:p w14:paraId="7A39FA56" w14:textId="77777777" w:rsidR="00273E5F" w:rsidRPr="008C1E77" w:rsidRDefault="00273E5F" w:rsidP="00273E5F">
      <w:pPr>
        <w:tabs>
          <w:tab w:val="left" w:pos="2589"/>
        </w:tabs>
        <w:spacing w:line="480" w:lineRule="auto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b/>
          <w:bCs/>
          <w:szCs w:val="24"/>
        </w:rPr>
        <w:t>Extended Data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Fig</w:t>
      </w:r>
      <w:r>
        <w:rPr>
          <w:rFonts w:ascii="Arial" w:eastAsiaTheme="minorHAnsi" w:hAnsi="Arial" w:cs="Arial"/>
          <w:b/>
          <w:bCs/>
          <w:szCs w:val="24"/>
        </w:rPr>
        <w:t>.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1</w:t>
      </w:r>
      <w:r>
        <w:rPr>
          <w:rFonts w:ascii="Arial" w:eastAsiaTheme="minorHAnsi" w:hAnsi="Arial" w:cs="Arial"/>
          <w:b/>
          <w:bCs/>
          <w:szCs w:val="24"/>
        </w:rPr>
        <w:t>: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</w:t>
      </w:r>
      <w:r w:rsidRPr="004A2018">
        <w:rPr>
          <w:rFonts w:ascii="Arial" w:eastAsiaTheme="minorHAnsi" w:hAnsi="Arial" w:cs="Arial"/>
          <w:b/>
          <w:bCs/>
          <w:szCs w:val="24"/>
        </w:rPr>
        <w:t>Frequency-dependent hemodynamic response to optogenetic stimulation of SST neurons under awake and anesthetized conditions.</w:t>
      </w:r>
      <w:r w:rsidRPr="008C1E77">
        <w:rPr>
          <w:rFonts w:ascii="Arial" w:eastAsiaTheme="minorHAnsi" w:hAnsi="Arial" w:cs="Arial"/>
          <w:szCs w:val="24"/>
        </w:rPr>
        <w:t xml:space="preserve"> (A) Histology results confirming the </w:t>
      </w:r>
      <w:r>
        <w:rPr>
          <w:rFonts w:ascii="Arial" w:eastAsiaTheme="minorHAnsi" w:hAnsi="Arial" w:cs="Arial"/>
          <w:szCs w:val="24"/>
        </w:rPr>
        <w:t>C</w:t>
      </w:r>
      <w:r w:rsidRPr="008C1E77">
        <w:rPr>
          <w:rFonts w:ascii="Arial" w:eastAsiaTheme="minorHAnsi" w:hAnsi="Arial" w:cs="Arial"/>
          <w:szCs w:val="24"/>
        </w:rPr>
        <w:t>hR2 expression in SST neurons.</w:t>
      </w:r>
      <w:r w:rsidRPr="00217AD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To confirm expression of ChR2-eYFP in SST neurons, staining of SST neurons by SST antibodies (red) was compared to eYFP expression (green).</w:t>
      </w:r>
      <w:r w:rsidRPr="008C1E77">
        <w:rPr>
          <w:rFonts w:ascii="Arial" w:eastAsiaTheme="minorHAnsi" w:hAnsi="Arial" w:cs="Arial"/>
          <w:szCs w:val="24"/>
        </w:rPr>
        <w:t xml:space="preserve"> (B) </w:t>
      </w:r>
      <w:r>
        <w:rPr>
          <w:rFonts w:ascii="Arial" w:hAnsi="Arial" w:cs="Arial"/>
          <w:szCs w:val="24"/>
        </w:rPr>
        <w:t>A</w:t>
      </w:r>
      <w:r w:rsidRPr="008C1E77">
        <w:rPr>
          <w:rFonts w:ascii="Arial" w:hAnsi="Arial" w:cs="Arial"/>
          <w:szCs w:val="24"/>
        </w:rPr>
        <w:t xml:space="preserve">ctivation maps from a single animal, showing the time-dependent changes in the total hemoglobin (HbT) </w:t>
      </w:r>
      <w:r>
        <w:rPr>
          <w:rFonts w:ascii="Arial" w:hAnsi="Arial" w:cs="Arial"/>
          <w:szCs w:val="24"/>
        </w:rPr>
        <w:t xml:space="preserve">in </w:t>
      </w:r>
      <w:r w:rsidRPr="008C1E77">
        <w:rPr>
          <w:rFonts w:ascii="Arial" w:hAnsi="Arial" w:cs="Arial"/>
          <w:szCs w:val="24"/>
        </w:rPr>
        <w:t xml:space="preserve">response </w:t>
      </w:r>
      <w:r>
        <w:rPr>
          <w:rFonts w:ascii="Arial" w:hAnsi="Arial" w:cs="Arial"/>
          <w:szCs w:val="24"/>
        </w:rPr>
        <w:lastRenderedPageBreak/>
        <w:t>to</w:t>
      </w:r>
      <w:r w:rsidRPr="008C1E77">
        <w:rPr>
          <w:rFonts w:ascii="Arial" w:hAnsi="Arial" w:cs="Arial"/>
          <w:szCs w:val="24"/>
        </w:rPr>
        <w:t xml:space="preserve"> 1 Hz and 20 Hz optogenetic stimulation for 5 and 20 seconds under awake and Ket/Xyl conditions. Color bar indicates ∆HbT (%). (C) Timecourses extracted in the surrounding area showing negative response to 1 Hz and 20 Hz optogenetic stimulation for 5 and 20 seconds (n=5). Initial positive hemodynamic responses were followed by negative changes. (D) Correlation between the trough of the response in stimulation site and </w:t>
      </w:r>
      <w:r>
        <w:rPr>
          <w:rFonts w:ascii="Arial" w:hAnsi="Arial" w:cs="Arial"/>
          <w:szCs w:val="24"/>
        </w:rPr>
        <w:t xml:space="preserve">the </w:t>
      </w:r>
      <w:r w:rsidRPr="008C1E77">
        <w:rPr>
          <w:rFonts w:ascii="Arial" w:hAnsi="Arial" w:cs="Arial"/>
          <w:szCs w:val="24"/>
        </w:rPr>
        <w:t>negative response in surrounding area. one-way ANOVA test, multiple comparison with Bonferroni. (E) Activation maps from one representative animal, showing the time-dependent changes in HbT in response to 5 and 40</w:t>
      </w:r>
      <w:r>
        <w:rPr>
          <w:rFonts w:ascii="Arial" w:hAnsi="Arial" w:cs="Arial"/>
          <w:szCs w:val="24"/>
        </w:rPr>
        <w:t xml:space="preserve"> </w:t>
      </w:r>
      <w:r w:rsidRPr="008C1E77">
        <w:rPr>
          <w:rFonts w:ascii="Arial" w:hAnsi="Arial" w:cs="Arial"/>
          <w:szCs w:val="24"/>
        </w:rPr>
        <w:t>Hz optogenetic stimulation for 5 and 20 seconds under Ket/Xyl condition, along with corresponding time courses (n=4). (F) Quantification of the HbT response to 1-40 Hz optogenetic stimulation at 20 seconds under Ket/Xyl condition.</w:t>
      </w:r>
      <w:r w:rsidRPr="007C51D3">
        <w:rPr>
          <w:szCs w:val="24"/>
        </w:rPr>
        <w:t xml:space="preserve"> </w:t>
      </w:r>
      <w:r w:rsidRPr="008C1E77">
        <w:rPr>
          <w:rFonts w:ascii="Arial" w:hAnsi="Arial" w:cs="Arial"/>
          <w:szCs w:val="24"/>
        </w:rPr>
        <w:t xml:space="preserve">The hemodynamic response to optogenetic stimulation was characterized by three phases as an initial peak (0-5s), a trough (5-15 s) and a later peak (35-40s) under Ket/Xyl condition. Data are presented as mean </w:t>
      </w:r>
      <w:r w:rsidRPr="008C1E77">
        <w:rPr>
          <w:rFonts w:ascii="Arial" w:eastAsiaTheme="minorHAnsi" w:hAnsi="Arial" w:cs="Arial"/>
          <w:szCs w:val="24"/>
        </w:rPr>
        <w:t>±</w:t>
      </w:r>
      <w:r w:rsidRPr="008C1E77">
        <w:rPr>
          <w:rFonts w:ascii="Arial" w:hAnsi="Arial" w:cs="Arial"/>
          <w:szCs w:val="24"/>
        </w:rPr>
        <w:t xml:space="preserve"> SEM. </w:t>
      </w:r>
    </w:p>
    <w:p w14:paraId="1D45BF1D" w14:textId="77777777" w:rsidR="00273E5F" w:rsidRDefault="00273E5F" w:rsidP="00273E5F">
      <w:pPr>
        <w:widowControl/>
        <w:wordWrap/>
        <w:autoSpaceDE/>
        <w:autoSpaceDN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br w:type="page"/>
      </w:r>
    </w:p>
    <w:p w14:paraId="17C17768" w14:textId="77777777" w:rsidR="00273E5F" w:rsidRDefault="00273E5F" w:rsidP="00273E5F">
      <w:pPr>
        <w:rPr>
          <w:rFonts w:ascii="Arial" w:eastAsiaTheme="minorHAnsi" w:hAnsi="Arial" w:cs="Arial"/>
        </w:rPr>
      </w:pPr>
      <w:r>
        <w:rPr>
          <w:rFonts w:eastAsiaTheme="minorHAnsi"/>
          <w:b/>
          <w:bCs/>
          <w:noProof/>
        </w:rPr>
        <w:lastRenderedPageBreak/>
        <w:drawing>
          <wp:inline distT="0" distB="0" distL="0" distR="0" wp14:anchorId="370EB570" wp14:editId="5972048D">
            <wp:extent cx="4174435" cy="6908730"/>
            <wp:effectExtent l="0" t="0" r="0" b="6985"/>
            <wp:docPr id="1872865565" name="Picture 2" descr="A close-up of several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65565" name="Picture 2" descr="A close-up of several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308" cy="691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E8946" w14:textId="77777777" w:rsidR="00273E5F" w:rsidRDefault="00273E5F" w:rsidP="00273E5F">
      <w:pPr>
        <w:rPr>
          <w:rFonts w:ascii="Arial" w:eastAsiaTheme="minorHAnsi" w:hAnsi="Arial" w:cs="Arial"/>
        </w:rPr>
      </w:pPr>
    </w:p>
    <w:p w14:paraId="6CB540FB" w14:textId="77777777" w:rsidR="00273E5F" w:rsidRPr="008C1E77" w:rsidRDefault="00273E5F" w:rsidP="00273E5F">
      <w:pPr>
        <w:tabs>
          <w:tab w:val="left" w:pos="2589"/>
        </w:tabs>
        <w:spacing w:line="480" w:lineRule="auto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b/>
          <w:bCs/>
          <w:szCs w:val="24"/>
        </w:rPr>
        <w:t>Extended Data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Fig</w:t>
      </w:r>
      <w:r>
        <w:rPr>
          <w:rFonts w:ascii="Arial" w:eastAsiaTheme="minorHAnsi" w:hAnsi="Arial" w:cs="Arial"/>
          <w:b/>
          <w:bCs/>
          <w:szCs w:val="24"/>
        </w:rPr>
        <w:t>.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</w:t>
      </w:r>
      <w:r>
        <w:rPr>
          <w:rFonts w:ascii="Arial" w:eastAsiaTheme="minorHAnsi" w:hAnsi="Arial" w:cs="Arial"/>
          <w:b/>
          <w:bCs/>
          <w:szCs w:val="24"/>
        </w:rPr>
        <w:t>2: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</w:t>
      </w:r>
      <w:bookmarkStart w:id="0" w:name="_Hlk167022271"/>
      <w:r w:rsidRPr="004A2018">
        <w:rPr>
          <w:rFonts w:ascii="Arial" w:eastAsiaTheme="minorHAnsi" w:hAnsi="Arial" w:cs="Arial"/>
          <w:b/>
          <w:bCs/>
          <w:noProof/>
          <w:szCs w:val="24"/>
        </w:rPr>
        <w:t>Local neuronal activity responding to 5 Hz and 40 Hz optogenetic activation of SST neurons.</w:t>
      </w:r>
      <w:r w:rsidRPr="008C1E77">
        <w:rPr>
          <w:rFonts w:ascii="Arial" w:eastAsiaTheme="minorHAnsi" w:hAnsi="Arial" w:cs="Arial"/>
          <w:noProof/>
          <w:szCs w:val="24"/>
        </w:rPr>
        <w:t xml:space="preserve"> (A) Raster plots of a representive animal, responding to 5 </w:t>
      </w:r>
      <w:r>
        <w:rPr>
          <w:rFonts w:ascii="Arial" w:eastAsiaTheme="minorHAnsi" w:hAnsi="Arial" w:cs="Arial"/>
          <w:noProof/>
          <w:szCs w:val="24"/>
        </w:rPr>
        <w:t xml:space="preserve">Hz </w:t>
      </w:r>
      <w:r w:rsidRPr="008C1E77">
        <w:rPr>
          <w:rFonts w:ascii="Arial" w:eastAsiaTheme="minorHAnsi" w:hAnsi="Arial" w:cs="Arial"/>
          <w:noProof/>
          <w:szCs w:val="24"/>
        </w:rPr>
        <w:t>and 40</w:t>
      </w:r>
      <w:r>
        <w:rPr>
          <w:rFonts w:ascii="Arial" w:eastAsiaTheme="minorHAnsi" w:hAnsi="Arial" w:cs="Arial"/>
          <w:noProof/>
          <w:szCs w:val="24"/>
        </w:rPr>
        <w:t xml:space="preserve"> </w:t>
      </w:r>
      <w:r w:rsidRPr="008C1E77">
        <w:rPr>
          <w:rFonts w:ascii="Arial" w:eastAsiaTheme="minorHAnsi" w:hAnsi="Arial" w:cs="Arial"/>
          <w:noProof/>
          <w:szCs w:val="24"/>
        </w:rPr>
        <w:t xml:space="preserve">Hz optogenetic stimulation. (B) Heat maps of changes in multiunit activity (∆MUA) compared to baseline across the time series for 5 </w:t>
      </w:r>
      <w:r>
        <w:rPr>
          <w:rFonts w:ascii="Arial" w:eastAsiaTheme="minorHAnsi" w:hAnsi="Arial" w:cs="Arial"/>
          <w:noProof/>
          <w:szCs w:val="24"/>
        </w:rPr>
        <w:t xml:space="preserve">Hz </w:t>
      </w:r>
      <w:r w:rsidRPr="008C1E77">
        <w:rPr>
          <w:rFonts w:ascii="Arial" w:eastAsiaTheme="minorHAnsi" w:hAnsi="Arial" w:cs="Arial"/>
          <w:noProof/>
          <w:szCs w:val="24"/>
        </w:rPr>
        <w:t>and 40 Hz stimulation (n=4). (C) Averaged neural trace</w:t>
      </w:r>
      <w:r>
        <w:rPr>
          <w:rFonts w:ascii="Arial" w:eastAsiaTheme="minorHAnsi" w:hAnsi="Arial" w:cs="Arial"/>
          <w:noProof/>
          <w:szCs w:val="24"/>
        </w:rPr>
        <w:t>s</w:t>
      </w:r>
      <w:r w:rsidRPr="008C1E77">
        <w:rPr>
          <w:rFonts w:ascii="Arial" w:eastAsiaTheme="minorHAnsi" w:hAnsi="Arial" w:cs="Arial"/>
          <w:noProof/>
          <w:szCs w:val="24"/>
        </w:rPr>
        <w:t xml:space="preserve"> and ∆MUA heat maps for the laser pulse ON and OFF period, corresponding to 5 Hz and 40 Hz optogenetic activation </w:t>
      </w:r>
      <w:r w:rsidRPr="008C1E77">
        <w:rPr>
          <w:rFonts w:ascii="Arial" w:eastAsiaTheme="minorHAnsi" w:hAnsi="Arial" w:cs="Arial"/>
          <w:noProof/>
          <w:szCs w:val="24"/>
        </w:rPr>
        <w:lastRenderedPageBreak/>
        <w:t xml:space="preserve">of SST neurons. (D) ∆MUA during total, ON and OFF periods </w:t>
      </w:r>
      <w:r w:rsidRPr="008C1E77">
        <w:rPr>
          <w:rFonts w:ascii="Arial" w:hAnsi="Arial" w:cs="Arial"/>
          <w:szCs w:val="24"/>
        </w:rPr>
        <w:t xml:space="preserve">(one-way ANOVA </w:t>
      </w:r>
      <w:r>
        <w:rPr>
          <w:rFonts w:ascii="Arial" w:hAnsi="Arial" w:cs="Arial"/>
          <w:szCs w:val="24"/>
        </w:rPr>
        <w:t xml:space="preserve">repeated </w:t>
      </w:r>
      <w:r w:rsidRPr="008C1E77">
        <w:rPr>
          <w:rFonts w:ascii="Arial" w:hAnsi="Arial" w:cs="Arial"/>
          <w:szCs w:val="24"/>
        </w:rPr>
        <w:t xml:space="preserve">test, multiple comparison with Bonferroni). Data are presented as mean </w:t>
      </w:r>
      <w:r w:rsidRPr="008C1E77">
        <w:rPr>
          <w:rFonts w:ascii="Arial" w:eastAsiaTheme="minorHAnsi" w:hAnsi="Arial" w:cs="Arial"/>
          <w:szCs w:val="24"/>
        </w:rPr>
        <w:t>±</w:t>
      </w:r>
      <w:r w:rsidRPr="008C1E77">
        <w:rPr>
          <w:rFonts w:ascii="Arial" w:hAnsi="Arial" w:cs="Arial"/>
          <w:szCs w:val="24"/>
        </w:rPr>
        <w:t xml:space="preserve"> SEM.</w:t>
      </w:r>
    </w:p>
    <w:bookmarkEnd w:id="0"/>
    <w:p w14:paraId="008AD573" w14:textId="77777777" w:rsidR="00273E5F" w:rsidRDefault="00273E5F" w:rsidP="00273E5F">
      <w:pPr>
        <w:widowControl/>
        <w:wordWrap/>
        <w:autoSpaceDE/>
        <w:autoSpaceDN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br w:type="page"/>
      </w:r>
    </w:p>
    <w:p w14:paraId="692B3E6B" w14:textId="77777777" w:rsidR="00273E5F" w:rsidRPr="001D4853" w:rsidRDefault="00273E5F" w:rsidP="00273E5F">
      <w:pPr>
        <w:rPr>
          <w:rFonts w:ascii="Arial" w:eastAsiaTheme="minorHAnsi" w:hAnsi="Arial" w:cs="Arial"/>
          <w:b/>
          <w:bCs/>
          <w:noProof/>
          <w:szCs w:val="24"/>
        </w:rPr>
      </w:pPr>
      <w:r w:rsidRPr="008C1E77">
        <w:rPr>
          <w:rFonts w:ascii="Arial" w:eastAsiaTheme="minorHAnsi" w:hAnsi="Arial" w:cs="Arial"/>
          <w:b/>
          <w:bCs/>
          <w:noProof/>
          <w:szCs w:val="24"/>
        </w:rPr>
        <w:lastRenderedPageBreak/>
        <w:drawing>
          <wp:inline distT="0" distB="0" distL="0" distR="0" wp14:anchorId="78834D3A" wp14:editId="06258458">
            <wp:extent cx="5770245" cy="5022215"/>
            <wp:effectExtent l="0" t="0" r="1905" b="6985"/>
            <wp:docPr id="1841095" name="Picture 5" descr="A collage of diagrams and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095" name="Picture 5" descr="A collage of diagrams and graph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67E11" w14:textId="77777777" w:rsidR="00273E5F" w:rsidRDefault="00273E5F" w:rsidP="00273E5F">
      <w:pPr>
        <w:rPr>
          <w:rFonts w:ascii="Arial" w:eastAsiaTheme="minorHAnsi" w:hAnsi="Arial" w:cs="Arial"/>
          <w:b/>
          <w:bCs/>
          <w:noProof/>
          <w:szCs w:val="24"/>
        </w:rPr>
      </w:pPr>
    </w:p>
    <w:p w14:paraId="031F2666" w14:textId="77777777" w:rsidR="00273E5F" w:rsidRDefault="00273E5F" w:rsidP="00273E5F">
      <w:pPr>
        <w:spacing w:line="480" w:lineRule="auto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b/>
          <w:bCs/>
          <w:szCs w:val="24"/>
        </w:rPr>
        <w:t>Extended Data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Fig</w:t>
      </w:r>
      <w:r>
        <w:rPr>
          <w:rFonts w:ascii="Arial" w:eastAsiaTheme="minorHAnsi" w:hAnsi="Arial" w:cs="Arial"/>
          <w:b/>
          <w:bCs/>
          <w:szCs w:val="24"/>
        </w:rPr>
        <w:t>.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3</w:t>
      </w:r>
      <w:r>
        <w:rPr>
          <w:rFonts w:ascii="Arial" w:eastAsiaTheme="minorHAnsi" w:hAnsi="Arial" w:cs="Arial"/>
          <w:b/>
          <w:bCs/>
          <w:szCs w:val="24"/>
        </w:rPr>
        <w:t>: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HbT and astrocytic Ca</w:t>
      </w:r>
      <w:r w:rsidRPr="008C1E77">
        <w:rPr>
          <w:rFonts w:ascii="Arial" w:eastAsiaTheme="minorHAnsi" w:hAnsi="Arial" w:cs="Arial"/>
          <w:b/>
          <w:bCs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activity in response to stimulation. </w:t>
      </w:r>
      <w:r w:rsidRPr="008C1E77">
        <w:rPr>
          <w:rFonts w:ascii="Arial" w:eastAsiaTheme="minorHAnsi" w:hAnsi="Arial" w:cs="Arial"/>
          <w:szCs w:val="24"/>
        </w:rPr>
        <w:t>(A-B) Hemodynamic and neuronal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response to 20</w:t>
      </w:r>
      <w:r>
        <w:rPr>
          <w:rFonts w:ascii="Arial" w:eastAsiaTheme="minorHAnsi" w:hAnsi="Arial" w:cs="Arial"/>
          <w:szCs w:val="24"/>
        </w:rPr>
        <w:t>-</w:t>
      </w:r>
      <w:r w:rsidRPr="008C1E77">
        <w:rPr>
          <w:rFonts w:ascii="Arial" w:eastAsiaTheme="minorHAnsi" w:hAnsi="Arial" w:cs="Arial"/>
          <w:szCs w:val="24"/>
        </w:rPr>
        <w:t>s</w:t>
      </w:r>
      <w:r>
        <w:rPr>
          <w:rFonts w:ascii="Arial" w:eastAsiaTheme="minorHAnsi" w:hAnsi="Arial" w:cs="Arial"/>
          <w:szCs w:val="24"/>
        </w:rPr>
        <w:t xml:space="preserve"> </w:t>
      </w:r>
      <w:r w:rsidRPr="008C1E77">
        <w:rPr>
          <w:rFonts w:ascii="Arial" w:eastAsiaTheme="minorHAnsi" w:hAnsi="Arial" w:cs="Arial"/>
          <w:szCs w:val="24"/>
        </w:rPr>
        <w:t xml:space="preserve">forepaw stimulation </w:t>
      </w:r>
      <w:r>
        <w:rPr>
          <w:rFonts w:ascii="Arial" w:eastAsiaTheme="minorHAnsi" w:hAnsi="Arial" w:cs="Arial"/>
          <w:szCs w:val="24"/>
        </w:rPr>
        <w:t>before and after the</w:t>
      </w:r>
      <w:r w:rsidRPr="008C1E77">
        <w:rPr>
          <w:rFonts w:ascii="Arial" w:eastAsiaTheme="minorHAnsi" w:hAnsi="Arial" w:cs="Arial"/>
          <w:szCs w:val="24"/>
        </w:rPr>
        <w:t xml:space="preserve"> intracortical injection of saline (n=3). No </w:t>
      </w:r>
      <w:r>
        <w:rPr>
          <w:rFonts w:ascii="Arial" w:eastAsiaTheme="minorHAnsi" w:hAnsi="Arial" w:cs="Arial"/>
          <w:szCs w:val="24"/>
        </w:rPr>
        <w:t xml:space="preserve">significant </w:t>
      </w:r>
      <w:r w:rsidRPr="008C1E77">
        <w:rPr>
          <w:rFonts w:ascii="Arial" w:eastAsiaTheme="minorHAnsi" w:hAnsi="Arial" w:cs="Arial"/>
          <w:szCs w:val="24"/>
        </w:rPr>
        <w:t>changes were observed. (C-E) HbT responses in response to 20</w:t>
      </w:r>
      <w:r>
        <w:rPr>
          <w:rFonts w:ascii="Arial" w:eastAsiaTheme="minorHAnsi" w:hAnsi="Arial" w:cs="Arial"/>
          <w:szCs w:val="24"/>
        </w:rPr>
        <w:t>-</w:t>
      </w:r>
      <w:r w:rsidRPr="008C1E77">
        <w:rPr>
          <w:rFonts w:ascii="Arial" w:eastAsiaTheme="minorHAnsi" w:hAnsi="Arial" w:cs="Arial"/>
          <w:szCs w:val="24"/>
        </w:rPr>
        <w:t>s</w:t>
      </w:r>
      <w:r>
        <w:rPr>
          <w:rFonts w:ascii="Arial" w:eastAsiaTheme="minorHAnsi" w:hAnsi="Arial" w:cs="Arial"/>
          <w:szCs w:val="24"/>
        </w:rPr>
        <w:t xml:space="preserve"> </w:t>
      </w:r>
      <w:r w:rsidRPr="008C1E77">
        <w:rPr>
          <w:rFonts w:ascii="Arial" w:eastAsiaTheme="minorHAnsi" w:hAnsi="Arial" w:cs="Arial"/>
          <w:szCs w:val="24"/>
        </w:rPr>
        <w:t xml:space="preserve">forepaw stimulation before and after nNOS inhibitor L-NAME infusion (n=4). An initial HbT peak was significantly reduced. (F) Schematic diagram of optical imaging under awake condition. (G) </w:t>
      </w:r>
      <w:r>
        <w:rPr>
          <w:rFonts w:ascii="Arial" w:eastAsiaTheme="minorHAnsi" w:hAnsi="Arial" w:cs="Arial"/>
          <w:szCs w:val="24"/>
        </w:rPr>
        <w:t>A</w:t>
      </w:r>
      <w:r w:rsidRPr="008C1E77">
        <w:rPr>
          <w:rFonts w:ascii="Arial" w:eastAsiaTheme="minorHAnsi" w:hAnsi="Arial" w:cs="Arial"/>
          <w:szCs w:val="24"/>
        </w:rPr>
        <w:t>ctivation map</w:t>
      </w:r>
      <w:r>
        <w:rPr>
          <w:rFonts w:ascii="Arial" w:eastAsiaTheme="minorHAnsi" w:hAnsi="Arial" w:cs="Arial"/>
          <w:szCs w:val="24"/>
        </w:rPr>
        <w:t>s</w:t>
      </w:r>
      <w:r w:rsidRPr="008C1E77">
        <w:rPr>
          <w:rFonts w:ascii="Arial" w:eastAsiaTheme="minorHAnsi" w:hAnsi="Arial" w:cs="Arial"/>
          <w:szCs w:val="24"/>
        </w:rPr>
        <w:t xml:space="preserve"> of ∆HbT and astrocytic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response to 20</w:t>
      </w:r>
      <w:r>
        <w:rPr>
          <w:rFonts w:ascii="Arial" w:eastAsiaTheme="minorHAnsi" w:hAnsi="Arial" w:cs="Arial"/>
          <w:szCs w:val="24"/>
        </w:rPr>
        <w:t>-</w:t>
      </w:r>
      <w:r w:rsidRPr="008C1E77">
        <w:rPr>
          <w:rFonts w:ascii="Arial" w:eastAsiaTheme="minorHAnsi" w:hAnsi="Arial" w:cs="Arial"/>
          <w:szCs w:val="24"/>
        </w:rPr>
        <w:t>s</w:t>
      </w:r>
      <w:r>
        <w:rPr>
          <w:rFonts w:ascii="Arial" w:eastAsiaTheme="minorHAnsi" w:hAnsi="Arial" w:cs="Arial"/>
          <w:szCs w:val="24"/>
        </w:rPr>
        <w:t xml:space="preserve"> </w:t>
      </w:r>
      <w:r w:rsidRPr="008C1E77">
        <w:rPr>
          <w:rFonts w:ascii="Arial" w:eastAsiaTheme="minorHAnsi" w:hAnsi="Arial" w:cs="Arial"/>
          <w:szCs w:val="24"/>
        </w:rPr>
        <w:t>optogenetic stimulation in the mouse group with calcium-sensitive AAV virus injection. Delayed astrocytic calcium activity was observed. (H) ∆HbT and astrocytic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time courses for 5 stimulation blocks in groups with and without AAV injection. (I-J) Averaged ∆HbT and astrocytic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time course (n=4) for a stimulation block and their time to peak. </w:t>
      </w:r>
      <w:r w:rsidRPr="008C1E77">
        <w:rPr>
          <w:rFonts w:ascii="Arial" w:hAnsi="Arial" w:cs="Arial"/>
          <w:szCs w:val="24"/>
        </w:rPr>
        <w:t xml:space="preserve">Data are presented as mean </w:t>
      </w:r>
      <w:r w:rsidRPr="008C1E77">
        <w:rPr>
          <w:rFonts w:ascii="Arial" w:eastAsiaTheme="minorHAnsi" w:hAnsi="Arial" w:cs="Arial"/>
          <w:szCs w:val="24"/>
        </w:rPr>
        <w:t>±</w:t>
      </w:r>
      <w:r w:rsidRPr="008C1E77">
        <w:rPr>
          <w:rFonts w:ascii="Arial" w:hAnsi="Arial" w:cs="Arial"/>
          <w:szCs w:val="24"/>
        </w:rPr>
        <w:t xml:space="preserve"> SEM. Paired sample t-test.</w:t>
      </w:r>
    </w:p>
    <w:p w14:paraId="5D10D0D3" w14:textId="77777777" w:rsidR="00273E5F" w:rsidRPr="001D4853" w:rsidRDefault="00273E5F" w:rsidP="00273E5F">
      <w:pPr>
        <w:widowControl/>
        <w:wordWrap/>
        <w:autoSpaceDE/>
        <w:autoSpaceDN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69280A37" w14:textId="77777777" w:rsidR="00273E5F" w:rsidRDefault="00273E5F" w:rsidP="00273E5F">
      <w:pPr>
        <w:rPr>
          <w:rFonts w:ascii="Arial" w:eastAsiaTheme="minorHAnsi" w:hAnsi="Arial" w:cs="Arial"/>
          <w:b/>
          <w:bCs/>
          <w:noProof/>
          <w:szCs w:val="24"/>
        </w:rPr>
      </w:pPr>
      <w:r w:rsidRPr="008C1E77">
        <w:rPr>
          <w:rFonts w:ascii="Arial" w:eastAsiaTheme="minorHAnsi" w:hAnsi="Arial" w:cs="Arial"/>
          <w:b/>
          <w:bCs/>
          <w:noProof/>
          <w:szCs w:val="24"/>
        </w:rPr>
        <w:lastRenderedPageBreak/>
        <w:drawing>
          <wp:inline distT="0" distB="0" distL="0" distR="0" wp14:anchorId="29241427" wp14:editId="6852E5C1">
            <wp:extent cx="3776345" cy="6634480"/>
            <wp:effectExtent l="0" t="0" r="0" b="0"/>
            <wp:docPr id="1597269725" name="Picture 6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69725" name="Picture 6" descr="A close-up of a graph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663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CCF79" w14:textId="77777777" w:rsidR="00273E5F" w:rsidRDefault="00273E5F" w:rsidP="00273E5F">
      <w:pPr>
        <w:rPr>
          <w:rFonts w:ascii="Arial" w:eastAsiaTheme="minorHAnsi" w:hAnsi="Arial" w:cs="Arial"/>
          <w:b/>
          <w:bCs/>
          <w:noProof/>
          <w:szCs w:val="24"/>
        </w:rPr>
      </w:pPr>
    </w:p>
    <w:p w14:paraId="2C503996" w14:textId="77777777" w:rsidR="00273E5F" w:rsidRDefault="00273E5F" w:rsidP="00273E5F">
      <w:pPr>
        <w:spacing w:line="480" w:lineRule="auto"/>
        <w:rPr>
          <w:rFonts w:ascii="Arial" w:hAnsi="Arial" w:cs="Arial"/>
          <w:szCs w:val="24"/>
        </w:rPr>
      </w:pPr>
      <w:r>
        <w:rPr>
          <w:rFonts w:ascii="Arial" w:eastAsiaTheme="minorHAnsi" w:hAnsi="Arial" w:cs="Arial"/>
          <w:b/>
          <w:bCs/>
          <w:szCs w:val="24"/>
        </w:rPr>
        <w:t>Extended Data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Fig</w:t>
      </w:r>
      <w:r>
        <w:rPr>
          <w:rFonts w:ascii="Arial" w:eastAsiaTheme="minorHAnsi" w:hAnsi="Arial" w:cs="Arial"/>
          <w:b/>
          <w:bCs/>
          <w:szCs w:val="24"/>
        </w:rPr>
        <w:t>.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4</w:t>
      </w:r>
      <w:r>
        <w:rPr>
          <w:rFonts w:ascii="Arial" w:eastAsiaTheme="minorHAnsi" w:hAnsi="Arial" w:cs="Arial"/>
          <w:b/>
          <w:bCs/>
          <w:szCs w:val="24"/>
        </w:rPr>
        <w:t>:</w:t>
      </w:r>
      <w:r w:rsidRPr="008C1E77">
        <w:rPr>
          <w:rFonts w:ascii="Arial" w:eastAsiaTheme="minorHAnsi" w:hAnsi="Arial" w:cs="Arial"/>
          <w:b/>
          <w:bCs/>
          <w:szCs w:val="24"/>
        </w:rPr>
        <w:t xml:space="preserve"> </w:t>
      </w:r>
      <w:r w:rsidRPr="008C1E77">
        <w:rPr>
          <w:rFonts w:ascii="Arial" w:eastAsiaTheme="minorHAnsi" w:hAnsi="Arial" w:cs="Arial"/>
          <w:b/>
          <w:bCs/>
          <w:noProof/>
          <w:szCs w:val="24"/>
        </w:rPr>
        <w:t>Astrocytic and neuronal Ca</w:t>
      </w:r>
      <w:r w:rsidRPr="008C1E77">
        <w:rPr>
          <w:rFonts w:ascii="Arial" w:eastAsiaTheme="minorHAnsi" w:hAnsi="Arial" w:cs="Arial"/>
          <w:b/>
          <w:bCs/>
          <w:noProof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b/>
          <w:bCs/>
          <w:noProof/>
          <w:szCs w:val="24"/>
        </w:rPr>
        <w:t xml:space="preserve"> response to 5-s sensory stimulation before and after the injection of the SSTR antagonist. </w:t>
      </w:r>
      <w:r w:rsidRPr="008C1E77">
        <w:rPr>
          <w:rFonts w:ascii="Arial" w:eastAsiaTheme="minorHAnsi" w:hAnsi="Arial" w:cs="Arial"/>
          <w:noProof/>
          <w:szCs w:val="24"/>
        </w:rPr>
        <w:t>(A)</w:t>
      </w:r>
      <w:r w:rsidRPr="008C1E77">
        <w:rPr>
          <w:rFonts w:ascii="Arial" w:eastAsiaTheme="minorHAnsi" w:hAnsi="Arial" w:cs="Arial"/>
          <w:szCs w:val="24"/>
        </w:rPr>
        <w:t xml:space="preserve"> Time to peak of astrocytic (n=6) and neuronal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(n=2 for 5 s-stimulation, n=6 for 20 s-stimulation) </w:t>
      </w:r>
      <w:r>
        <w:rPr>
          <w:rFonts w:ascii="Arial" w:eastAsiaTheme="minorHAnsi" w:hAnsi="Arial" w:cs="Arial"/>
          <w:szCs w:val="24"/>
        </w:rPr>
        <w:t xml:space="preserve">in </w:t>
      </w:r>
      <w:r w:rsidRPr="008C1E77">
        <w:rPr>
          <w:rFonts w:ascii="Arial" w:eastAsiaTheme="minorHAnsi" w:hAnsi="Arial" w:cs="Arial"/>
          <w:szCs w:val="24"/>
        </w:rPr>
        <w:t>response to 5</w:t>
      </w:r>
      <w:r>
        <w:rPr>
          <w:rFonts w:ascii="Arial" w:eastAsiaTheme="minorHAnsi" w:hAnsi="Arial" w:cs="Arial"/>
          <w:szCs w:val="24"/>
        </w:rPr>
        <w:t>-</w:t>
      </w:r>
      <w:r w:rsidRPr="008C1E77">
        <w:rPr>
          <w:rFonts w:ascii="Arial" w:eastAsiaTheme="minorHAnsi" w:hAnsi="Arial" w:cs="Arial"/>
          <w:szCs w:val="24"/>
        </w:rPr>
        <w:t>s and 20</w:t>
      </w:r>
      <w:r>
        <w:rPr>
          <w:rFonts w:ascii="Arial" w:eastAsiaTheme="minorHAnsi" w:hAnsi="Arial" w:cs="Arial"/>
          <w:szCs w:val="24"/>
        </w:rPr>
        <w:t>-</w:t>
      </w:r>
      <w:r w:rsidRPr="008C1E77">
        <w:rPr>
          <w:rFonts w:ascii="Arial" w:eastAsiaTheme="minorHAnsi" w:hAnsi="Arial" w:cs="Arial"/>
          <w:szCs w:val="24"/>
        </w:rPr>
        <w:t>s</w:t>
      </w:r>
      <w:r>
        <w:rPr>
          <w:rFonts w:ascii="Arial" w:eastAsiaTheme="minorHAnsi" w:hAnsi="Arial" w:cs="Arial"/>
          <w:szCs w:val="24"/>
        </w:rPr>
        <w:t xml:space="preserve"> </w:t>
      </w:r>
      <w:r w:rsidRPr="008C1E77">
        <w:rPr>
          <w:rFonts w:ascii="Arial" w:eastAsiaTheme="minorHAnsi" w:hAnsi="Arial" w:cs="Arial"/>
          <w:szCs w:val="24"/>
        </w:rPr>
        <w:t>forepaw stimulation. (B) HbT and astrocytic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response (astrocytic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group) to 5</w:t>
      </w:r>
      <w:r>
        <w:rPr>
          <w:rFonts w:ascii="Arial" w:eastAsiaTheme="minorHAnsi" w:hAnsi="Arial" w:cs="Arial"/>
          <w:szCs w:val="24"/>
        </w:rPr>
        <w:t>-</w:t>
      </w:r>
      <w:r w:rsidRPr="008C1E77">
        <w:rPr>
          <w:rFonts w:ascii="Arial" w:eastAsiaTheme="minorHAnsi" w:hAnsi="Arial" w:cs="Arial"/>
          <w:szCs w:val="24"/>
        </w:rPr>
        <w:t>s</w:t>
      </w:r>
      <w:r>
        <w:rPr>
          <w:rFonts w:ascii="Arial" w:eastAsiaTheme="minorHAnsi" w:hAnsi="Arial" w:cs="Arial"/>
          <w:szCs w:val="24"/>
        </w:rPr>
        <w:t xml:space="preserve"> </w:t>
      </w:r>
      <w:r w:rsidRPr="008C1E77">
        <w:rPr>
          <w:rFonts w:ascii="Arial" w:eastAsiaTheme="minorHAnsi" w:hAnsi="Arial" w:cs="Arial"/>
          <w:szCs w:val="24"/>
        </w:rPr>
        <w:t>forepaw stimulation before and after CYN 154806 infusion. (C) Same as (B) but for neuronal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group. (D) Time to 10% peak of normalized HbT and Ca</w:t>
      </w:r>
      <w:r w:rsidRPr="008C1E77">
        <w:rPr>
          <w:rFonts w:ascii="Arial" w:eastAsiaTheme="minorHAnsi" w:hAnsi="Arial" w:cs="Arial"/>
          <w:szCs w:val="24"/>
          <w:vertAlign w:val="superscript"/>
        </w:rPr>
        <w:t>2+</w:t>
      </w:r>
      <w:r w:rsidRPr="008C1E77">
        <w:rPr>
          <w:rFonts w:ascii="Arial" w:eastAsiaTheme="minorHAnsi" w:hAnsi="Arial" w:cs="Arial"/>
          <w:szCs w:val="24"/>
        </w:rPr>
        <w:t xml:space="preserve"> response in both Thy1-GgaMP6f and gfaABC1D-cyto-GCaMP6f groups. </w:t>
      </w:r>
      <w:r w:rsidRPr="008C1E77">
        <w:rPr>
          <w:rFonts w:ascii="Arial" w:hAnsi="Arial" w:cs="Arial"/>
          <w:szCs w:val="24"/>
        </w:rPr>
        <w:t xml:space="preserve">(E) </w:t>
      </w:r>
      <w:r w:rsidRPr="008C1E77">
        <w:rPr>
          <w:rFonts w:ascii="Arial" w:hAnsi="Arial" w:cs="Arial"/>
          <w:szCs w:val="24"/>
        </w:rPr>
        <w:lastRenderedPageBreak/>
        <w:t>Histology data confirm</w:t>
      </w:r>
      <w:r>
        <w:rPr>
          <w:rFonts w:ascii="Arial" w:hAnsi="Arial" w:cs="Arial"/>
          <w:szCs w:val="24"/>
        </w:rPr>
        <w:t>ing</w:t>
      </w:r>
      <w:r w:rsidRPr="008C1E77">
        <w:rPr>
          <w:rFonts w:ascii="Arial" w:hAnsi="Arial" w:cs="Arial"/>
          <w:szCs w:val="24"/>
        </w:rPr>
        <w:t xml:space="preserve"> the expression of GCaMP6f in excitatory neurons and astrocyte.</w:t>
      </w:r>
      <w:r>
        <w:rPr>
          <w:rFonts w:ascii="Arial" w:hAnsi="Arial" w:cs="Arial"/>
          <w:szCs w:val="24"/>
        </w:rPr>
        <w:t xml:space="preserve"> For Thy1-GCaMP6f, GCaMP6f is highly expressed in excitatory neurons. To confirm expression of GCaMP6f in astrocyte, staining of astrocyte by S100b (red) was compared to GCaMP6f expression (green). </w:t>
      </w:r>
      <w:r w:rsidRPr="008C1E77">
        <w:rPr>
          <w:rFonts w:ascii="Arial" w:hAnsi="Arial" w:cs="Arial"/>
          <w:szCs w:val="24"/>
        </w:rPr>
        <w:t xml:space="preserve">Data are presented as mean </w:t>
      </w:r>
      <w:r w:rsidRPr="008C1E77">
        <w:rPr>
          <w:rFonts w:ascii="Arial" w:eastAsiaTheme="minorHAnsi" w:hAnsi="Arial" w:cs="Arial"/>
          <w:szCs w:val="24"/>
        </w:rPr>
        <w:t>±</w:t>
      </w:r>
      <w:r w:rsidRPr="008C1E77">
        <w:rPr>
          <w:rFonts w:ascii="Arial" w:hAnsi="Arial" w:cs="Arial"/>
          <w:szCs w:val="24"/>
        </w:rPr>
        <w:t xml:space="preserve"> SEM. </w:t>
      </w:r>
      <w:r w:rsidRPr="008C1E77">
        <w:rPr>
          <w:rFonts w:ascii="Arial" w:eastAsiaTheme="minorHAnsi" w:hAnsi="Arial" w:cs="Arial"/>
          <w:szCs w:val="24"/>
        </w:rPr>
        <w:t xml:space="preserve"> </w:t>
      </w:r>
      <w:r w:rsidRPr="008C1E77">
        <w:rPr>
          <w:rFonts w:ascii="Arial" w:hAnsi="Arial" w:cs="Arial"/>
          <w:szCs w:val="24"/>
        </w:rPr>
        <w:t>n.s not significant; * p&lt;0.05: ** p&lt;0.01; *** p&lt;0.001 (paired sample t-test).</w:t>
      </w:r>
    </w:p>
    <w:p w14:paraId="1CBE0729" w14:textId="77777777" w:rsidR="00273E5F" w:rsidRDefault="00273E5F" w:rsidP="00273E5F">
      <w:pPr>
        <w:widowControl/>
        <w:wordWrap/>
        <w:autoSpaceDE/>
        <w:autoSpaceDN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br w:type="page"/>
      </w:r>
    </w:p>
    <w:p w14:paraId="4125774D" w14:textId="77777777" w:rsidR="00273E5F" w:rsidRDefault="00273E5F" w:rsidP="00273E5F">
      <w:pPr>
        <w:rPr>
          <w:rFonts w:ascii="Arial" w:eastAsiaTheme="minorHAnsi" w:hAnsi="Arial" w:cs="Arial"/>
        </w:rPr>
      </w:pPr>
      <w:r>
        <w:rPr>
          <w:rFonts w:ascii="Arial" w:hAnsi="Arial" w:cs="Arial"/>
          <w:b/>
          <w:bCs/>
          <w:noProof/>
          <w:szCs w:val="24"/>
        </w:rPr>
        <w:lastRenderedPageBreak/>
        <w:drawing>
          <wp:inline distT="0" distB="0" distL="0" distR="0" wp14:anchorId="0E2E5805" wp14:editId="4F450962">
            <wp:extent cx="5676900" cy="3532924"/>
            <wp:effectExtent l="0" t="0" r="0" b="0"/>
            <wp:docPr id="520326272" name="Picture 1" descr="A diagram of different colored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26272" name="Picture 1" descr="A diagram of different colored graph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731" cy="354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EA2C8" w14:textId="77777777" w:rsidR="00273E5F" w:rsidRDefault="00273E5F" w:rsidP="00273E5F">
      <w:pPr>
        <w:rPr>
          <w:rFonts w:ascii="Arial" w:eastAsiaTheme="minorHAnsi" w:hAnsi="Arial" w:cs="Arial"/>
        </w:rPr>
      </w:pPr>
    </w:p>
    <w:p w14:paraId="2A97BC62" w14:textId="77777777" w:rsidR="00273E5F" w:rsidRDefault="00273E5F" w:rsidP="00273E5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szCs w:val="24"/>
        </w:rPr>
        <w:t>Extended Data</w:t>
      </w:r>
      <w:r w:rsidRPr="004A2018">
        <w:rPr>
          <w:rFonts w:ascii="Arial" w:hAnsi="Arial" w:cs="Arial"/>
          <w:b/>
          <w:bCs/>
          <w:szCs w:val="24"/>
        </w:rPr>
        <w:t xml:space="preserve"> Fig</w:t>
      </w:r>
      <w:r>
        <w:rPr>
          <w:rFonts w:ascii="Arial" w:hAnsi="Arial" w:cs="Arial"/>
          <w:b/>
          <w:bCs/>
          <w:szCs w:val="24"/>
        </w:rPr>
        <w:t>.</w:t>
      </w:r>
      <w:r w:rsidRPr="004A2018">
        <w:rPr>
          <w:rFonts w:ascii="Arial" w:hAnsi="Arial" w:cs="Arial"/>
          <w:b/>
          <w:bCs/>
          <w:szCs w:val="24"/>
        </w:rPr>
        <w:t xml:space="preserve"> 5</w:t>
      </w:r>
      <w:r>
        <w:rPr>
          <w:rFonts w:ascii="Arial" w:hAnsi="Arial" w:cs="Arial"/>
          <w:b/>
          <w:bCs/>
          <w:szCs w:val="24"/>
        </w:rPr>
        <w:t>:</w:t>
      </w:r>
      <w:r w:rsidRPr="004A2018">
        <w:rPr>
          <w:rFonts w:ascii="Arial" w:hAnsi="Arial" w:cs="Arial"/>
          <w:b/>
          <w:bCs/>
          <w:szCs w:val="24"/>
        </w:rPr>
        <w:t xml:space="preserve"> Spatial extent of neuronal calcium activity and hemodynamic responses</w:t>
      </w:r>
      <w:r>
        <w:rPr>
          <w:rFonts w:ascii="Arial" w:hAnsi="Arial" w:cs="Arial"/>
          <w:szCs w:val="24"/>
        </w:rPr>
        <w:t xml:space="preserve"> </w:t>
      </w:r>
      <w:r w:rsidRPr="008C1E77">
        <w:rPr>
          <w:rFonts w:ascii="Arial" w:eastAsiaTheme="minorHAnsi" w:hAnsi="Arial" w:cs="Arial"/>
          <w:b/>
          <w:bCs/>
          <w:noProof/>
          <w:szCs w:val="24"/>
        </w:rPr>
        <w:t>before and after the injection of the SSTR antagonist</w:t>
      </w:r>
      <w:r>
        <w:rPr>
          <w:rFonts w:ascii="Arial" w:hAnsi="Arial" w:cs="Arial"/>
          <w:szCs w:val="24"/>
        </w:rPr>
        <w:t xml:space="preserve">. </w:t>
      </w:r>
      <w:r w:rsidRPr="00F9603E">
        <w:rPr>
          <w:rFonts w:ascii="Arial" w:hAnsi="Arial" w:cs="Arial"/>
        </w:rPr>
        <w:t>(</w:t>
      </w:r>
      <w:r>
        <w:rPr>
          <w:rFonts w:ascii="Arial" w:hAnsi="Arial" w:cs="Arial"/>
        </w:rPr>
        <w:t>A</w:t>
      </w:r>
      <w:r w:rsidRPr="00F9603E">
        <w:rPr>
          <w:rFonts w:ascii="Arial" w:hAnsi="Arial" w:cs="Arial"/>
        </w:rPr>
        <w:t>) Spatial extent of neuronal Ca</w:t>
      </w:r>
      <w:r w:rsidRPr="00F9603E">
        <w:rPr>
          <w:rFonts w:ascii="Arial" w:hAnsi="Arial" w:cs="Arial"/>
          <w:vertAlign w:val="superscript"/>
        </w:rPr>
        <w:t>2+</w:t>
      </w:r>
      <w:r w:rsidRPr="00F960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vs.</w:t>
      </w:r>
      <w:r w:rsidRPr="00F9603E">
        <w:rPr>
          <w:rFonts w:ascii="Arial" w:hAnsi="Arial" w:cs="Arial"/>
        </w:rPr>
        <w:t xml:space="preserve"> ∆HbT response (initial</w:t>
      </w:r>
      <w:r>
        <w:rPr>
          <w:rFonts w:ascii="Arial" w:hAnsi="Arial" w:cs="Arial"/>
        </w:rPr>
        <w:t>,</w:t>
      </w:r>
      <w:r w:rsidRPr="00F9603E">
        <w:rPr>
          <w:rFonts w:ascii="Arial" w:hAnsi="Arial" w:cs="Arial"/>
        </w:rPr>
        <w:t xml:space="preserve"> late</w:t>
      </w:r>
      <w:r>
        <w:rPr>
          <w:rFonts w:ascii="Arial" w:hAnsi="Arial" w:cs="Arial"/>
        </w:rPr>
        <w:t>r and post-stimulus</w:t>
      </w:r>
      <w:r w:rsidRPr="00F9603E">
        <w:rPr>
          <w:rFonts w:ascii="Arial" w:hAnsi="Arial" w:cs="Arial"/>
        </w:rPr>
        <w:t xml:space="preserve"> period) </w:t>
      </w:r>
      <w:r>
        <w:rPr>
          <w:rFonts w:ascii="Arial" w:hAnsi="Arial" w:cs="Arial"/>
        </w:rPr>
        <w:t xml:space="preserve">to 20-s forepaw stimulation before and after </w:t>
      </w:r>
      <w:r w:rsidRPr="00F9603E">
        <w:rPr>
          <w:rFonts w:ascii="Arial" w:hAnsi="Arial" w:cs="Arial"/>
        </w:rPr>
        <w:t>CYN 154806 infusion (n=6). (</w:t>
      </w:r>
      <w:r>
        <w:rPr>
          <w:rFonts w:ascii="Arial" w:hAnsi="Arial" w:cs="Arial"/>
        </w:rPr>
        <w:t>B</w:t>
      </w:r>
      <w:r w:rsidRPr="00F9603E">
        <w:rPr>
          <w:rFonts w:ascii="Arial" w:hAnsi="Arial" w:cs="Arial"/>
        </w:rPr>
        <w:t xml:space="preserve">) Spatial </w:t>
      </w:r>
      <w:r>
        <w:rPr>
          <w:rFonts w:ascii="Arial" w:hAnsi="Arial" w:cs="Arial"/>
        </w:rPr>
        <w:t>profiles</w:t>
      </w:r>
      <w:r w:rsidRPr="00F9603E">
        <w:rPr>
          <w:rFonts w:ascii="Arial" w:hAnsi="Arial" w:cs="Arial"/>
        </w:rPr>
        <w:t xml:space="preserve"> of neuronal Ca</w:t>
      </w:r>
      <w:r w:rsidRPr="00F9603E">
        <w:rPr>
          <w:rFonts w:ascii="Arial" w:hAnsi="Arial" w:cs="Arial"/>
          <w:vertAlign w:val="superscript"/>
        </w:rPr>
        <w:t>2+</w:t>
      </w:r>
      <w:r>
        <w:rPr>
          <w:rFonts w:ascii="Arial" w:hAnsi="Arial" w:cs="Arial"/>
        </w:rPr>
        <w:t xml:space="preserve"> and</w:t>
      </w:r>
      <w:r w:rsidRPr="00F9603E">
        <w:rPr>
          <w:rFonts w:ascii="Arial" w:hAnsi="Arial" w:cs="Arial"/>
        </w:rPr>
        <w:t xml:space="preserve"> ∆HbT response</w:t>
      </w:r>
      <w:r>
        <w:rPr>
          <w:rFonts w:ascii="Arial" w:hAnsi="Arial" w:cs="Arial"/>
        </w:rPr>
        <w:t>s</w:t>
      </w:r>
      <w:r w:rsidRPr="00F9603E">
        <w:rPr>
          <w:rFonts w:ascii="Arial" w:hAnsi="Arial" w:cs="Arial"/>
        </w:rPr>
        <w:t xml:space="preserve"> at</w:t>
      </w:r>
      <w:r>
        <w:rPr>
          <w:rFonts w:ascii="Arial" w:hAnsi="Arial" w:cs="Arial"/>
        </w:rPr>
        <w:t xml:space="preserve"> the</w:t>
      </w:r>
      <w:r w:rsidRPr="00F9603E">
        <w:rPr>
          <w:rFonts w:ascii="Arial" w:hAnsi="Arial" w:cs="Arial"/>
        </w:rPr>
        <w:t xml:space="preserve"> initial</w:t>
      </w:r>
      <w:r>
        <w:rPr>
          <w:rFonts w:ascii="Arial" w:hAnsi="Arial" w:cs="Arial"/>
        </w:rPr>
        <w:t xml:space="preserve"> (0-10 s), </w:t>
      </w:r>
      <w:r w:rsidRPr="00F9603E">
        <w:rPr>
          <w:rFonts w:ascii="Arial" w:hAnsi="Arial" w:cs="Arial"/>
        </w:rPr>
        <w:t>late</w:t>
      </w:r>
      <w:r>
        <w:rPr>
          <w:rFonts w:ascii="Arial" w:hAnsi="Arial" w:cs="Arial"/>
        </w:rPr>
        <w:t>r (11-20 s) and post-stimulus</w:t>
      </w:r>
      <w:r w:rsidRPr="00F9603E">
        <w:rPr>
          <w:rFonts w:ascii="Arial" w:hAnsi="Arial" w:cs="Arial"/>
        </w:rPr>
        <w:t xml:space="preserve"> period</w:t>
      </w:r>
      <w:r>
        <w:rPr>
          <w:rFonts w:ascii="Arial" w:hAnsi="Arial" w:cs="Arial"/>
        </w:rPr>
        <w:t>s</w:t>
      </w:r>
      <w:r w:rsidRPr="00F9603E">
        <w:rPr>
          <w:rFonts w:ascii="Arial" w:hAnsi="Arial" w:cs="Arial"/>
        </w:rPr>
        <w:t xml:space="preserve"> of 20</w:t>
      </w:r>
      <w:r>
        <w:rPr>
          <w:rFonts w:ascii="Arial" w:hAnsi="Arial" w:cs="Arial"/>
        </w:rPr>
        <w:t xml:space="preserve">-s </w:t>
      </w:r>
      <w:r w:rsidRPr="00F9603E">
        <w:rPr>
          <w:rFonts w:ascii="Arial" w:hAnsi="Arial" w:cs="Arial"/>
        </w:rPr>
        <w:t xml:space="preserve">forepaw stimulation, averaged in a range of 0.3 mm </w:t>
      </w:r>
      <w:r>
        <w:rPr>
          <w:rFonts w:ascii="Arial" w:hAnsi="Arial" w:cs="Arial"/>
        </w:rPr>
        <w:t xml:space="preserve">width with the highest </w:t>
      </w:r>
      <w:r w:rsidRPr="00F9603E">
        <w:rPr>
          <w:rFonts w:ascii="Arial" w:hAnsi="Arial" w:cs="Arial"/>
        </w:rPr>
        <w:t>neuronal Ca</w:t>
      </w:r>
      <w:r w:rsidRPr="00F9603E">
        <w:rPr>
          <w:rFonts w:ascii="Arial" w:hAnsi="Arial" w:cs="Arial"/>
          <w:vertAlign w:val="superscript"/>
        </w:rPr>
        <w:t>2+</w:t>
      </w:r>
      <w:r w:rsidRPr="00F9603E">
        <w:rPr>
          <w:rFonts w:ascii="Arial" w:hAnsi="Arial" w:cs="Arial"/>
        </w:rPr>
        <w:t xml:space="preserve"> response.</w:t>
      </w:r>
      <w:r>
        <w:rPr>
          <w:rFonts w:ascii="Arial" w:hAnsi="Arial" w:cs="Arial"/>
        </w:rPr>
        <w:t xml:space="preserve"> </w:t>
      </w:r>
    </w:p>
    <w:p w14:paraId="1A22BA65" w14:textId="77777777" w:rsidR="00273E5F" w:rsidRPr="001D4853" w:rsidRDefault="00273E5F" w:rsidP="00273E5F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557069" w14:textId="77777777" w:rsidR="00273E5F" w:rsidRDefault="00273E5F" w:rsidP="00273E5F">
      <w:pPr>
        <w:rPr>
          <w:rFonts w:eastAsiaTheme="minorHAnsi"/>
          <w:b/>
          <w:bCs/>
          <w:noProof/>
        </w:rPr>
      </w:pPr>
      <w:r w:rsidRPr="00D32DF1">
        <w:rPr>
          <w:rFonts w:eastAsiaTheme="minorHAnsi"/>
          <w:b/>
          <w:bCs/>
          <w:noProof/>
        </w:rPr>
        <w:lastRenderedPageBreak/>
        <w:drawing>
          <wp:inline distT="0" distB="0" distL="0" distR="0" wp14:anchorId="72562C29" wp14:editId="550AA286">
            <wp:extent cx="5732145" cy="5078730"/>
            <wp:effectExtent l="0" t="0" r="1905" b="7620"/>
            <wp:docPr id="1393690436" name="Picture 7" descr="A collage of diagrams and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90436" name="Picture 7" descr="A collage of diagrams and graph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507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63D12" w14:textId="77777777" w:rsidR="00273E5F" w:rsidRDefault="00273E5F" w:rsidP="00273E5F">
      <w:pPr>
        <w:rPr>
          <w:rFonts w:ascii="Arial" w:eastAsiaTheme="minorHAnsi" w:hAnsi="Arial" w:cs="Arial"/>
        </w:rPr>
      </w:pPr>
    </w:p>
    <w:p w14:paraId="2121959C" w14:textId="77777777" w:rsidR="00273E5F" w:rsidRPr="00F9603E" w:rsidRDefault="00273E5F" w:rsidP="00273E5F">
      <w:pPr>
        <w:spacing w:line="48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Extended Data</w:t>
      </w:r>
      <w:r w:rsidRPr="00337201">
        <w:rPr>
          <w:rFonts w:ascii="Arial" w:eastAsiaTheme="minorHAnsi" w:hAnsi="Arial" w:cs="Arial"/>
          <w:b/>
          <w:bCs/>
        </w:rPr>
        <w:t xml:space="preserve"> Fig</w:t>
      </w:r>
      <w:r>
        <w:rPr>
          <w:rFonts w:ascii="Arial" w:eastAsiaTheme="minorHAnsi" w:hAnsi="Arial" w:cs="Arial"/>
          <w:b/>
          <w:bCs/>
        </w:rPr>
        <w:t>.</w:t>
      </w:r>
      <w:r w:rsidRPr="00337201">
        <w:rPr>
          <w:rFonts w:ascii="Arial" w:eastAsiaTheme="minorHAnsi" w:hAnsi="Arial" w:cs="Arial"/>
          <w:b/>
          <w:bCs/>
        </w:rPr>
        <w:t xml:space="preserve"> </w:t>
      </w:r>
      <w:r>
        <w:rPr>
          <w:rFonts w:ascii="Arial" w:eastAsiaTheme="minorHAnsi" w:hAnsi="Arial" w:cs="Arial"/>
          <w:b/>
          <w:bCs/>
        </w:rPr>
        <w:t>6:</w:t>
      </w:r>
      <w:r w:rsidRPr="00337201">
        <w:rPr>
          <w:rFonts w:ascii="Arial" w:eastAsiaTheme="minorHAnsi" w:hAnsi="Arial" w:cs="Arial"/>
          <w:b/>
          <w:bCs/>
        </w:rPr>
        <w:t xml:space="preserve"> HbT </w:t>
      </w:r>
      <w:r>
        <w:rPr>
          <w:rFonts w:ascii="Arial" w:eastAsiaTheme="minorHAnsi" w:hAnsi="Arial" w:cs="Arial"/>
          <w:b/>
          <w:bCs/>
        </w:rPr>
        <w:t xml:space="preserve">and CBV-weighted fMRI </w:t>
      </w:r>
      <w:r w:rsidRPr="00337201">
        <w:rPr>
          <w:rFonts w:ascii="Arial" w:eastAsiaTheme="minorHAnsi" w:hAnsi="Arial" w:cs="Arial"/>
          <w:b/>
          <w:bCs/>
        </w:rPr>
        <w:t>response to 20</w:t>
      </w:r>
      <w:r>
        <w:rPr>
          <w:rFonts w:ascii="Arial" w:eastAsiaTheme="minorHAnsi" w:hAnsi="Arial" w:cs="Arial"/>
          <w:b/>
          <w:bCs/>
        </w:rPr>
        <w:t>-</w:t>
      </w:r>
      <w:r w:rsidRPr="00337201">
        <w:rPr>
          <w:rFonts w:ascii="Arial" w:eastAsiaTheme="minorHAnsi" w:hAnsi="Arial" w:cs="Arial"/>
          <w:b/>
          <w:bCs/>
        </w:rPr>
        <w:t>s</w:t>
      </w:r>
      <w:r>
        <w:rPr>
          <w:rFonts w:ascii="Arial" w:eastAsiaTheme="minorHAnsi" w:hAnsi="Arial" w:cs="Arial"/>
          <w:b/>
          <w:bCs/>
        </w:rPr>
        <w:t xml:space="preserve"> </w:t>
      </w:r>
      <w:r w:rsidRPr="00337201">
        <w:rPr>
          <w:rFonts w:ascii="Arial" w:eastAsiaTheme="minorHAnsi" w:hAnsi="Arial" w:cs="Arial"/>
          <w:b/>
          <w:bCs/>
        </w:rPr>
        <w:t xml:space="preserve">forepaw stimulation under Dex/Iso </w:t>
      </w:r>
      <w:r>
        <w:rPr>
          <w:rFonts w:ascii="Arial" w:eastAsiaTheme="minorHAnsi" w:hAnsi="Arial" w:cs="Arial"/>
          <w:b/>
          <w:bCs/>
        </w:rPr>
        <w:t xml:space="preserve">anesthesia </w:t>
      </w:r>
      <w:r w:rsidRPr="00337201">
        <w:rPr>
          <w:rFonts w:ascii="Arial" w:eastAsiaTheme="minorHAnsi" w:hAnsi="Arial" w:cs="Arial"/>
          <w:b/>
          <w:bCs/>
        </w:rPr>
        <w:t>condition</w:t>
      </w:r>
      <w:r w:rsidRPr="00337201" w:rsidDel="003D05D9">
        <w:rPr>
          <w:rFonts w:ascii="Arial" w:eastAsiaTheme="minorHAnsi" w:hAnsi="Arial" w:cs="Arial"/>
          <w:b/>
          <w:bCs/>
        </w:rPr>
        <w:t xml:space="preserve"> </w:t>
      </w:r>
      <w:r>
        <w:rPr>
          <w:rFonts w:ascii="Arial" w:eastAsiaTheme="minorHAnsi" w:hAnsi="Arial" w:cs="Arial"/>
          <w:b/>
          <w:bCs/>
        </w:rPr>
        <w:t xml:space="preserve">before and after SSTR antagonist </w:t>
      </w:r>
      <w:r w:rsidRPr="00337201">
        <w:rPr>
          <w:rFonts w:ascii="Arial" w:eastAsiaTheme="minorHAnsi" w:hAnsi="Arial" w:cs="Arial"/>
          <w:b/>
          <w:bCs/>
        </w:rPr>
        <w:t>CYN 1540806 infusion.</w:t>
      </w:r>
      <w:r w:rsidRPr="00337201">
        <w:rPr>
          <w:rFonts w:ascii="Arial" w:eastAsiaTheme="minorHAnsi" w:hAnsi="Arial" w:cs="Arial"/>
        </w:rPr>
        <w:t xml:space="preserve"> (A) HbT response to 20</w:t>
      </w:r>
      <w:r>
        <w:rPr>
          <w:rFonts w:ascii="Arial" w:eastAsiaTheme="minorHAnsi" w:hAnsi="Arial" w:cs="Arial"/>
        </w:rPr>
        <w:t>-</w:t>
      </w:r>
      <w:r w:rsidRPr="00337201">
        <w:rPr>
          <w:rFonts w:ascii="Arial" w:eastAsiaTheme="minorHAnsi" w:hAnsi="Arial" w:cs="Arial"/>
        </w:rPr>
        <w:t>s</w:t>
      </w:r>
      <w:r>
        <w:rPr>
          <w:rFonts w:ascii="Arial" w:eastAsiaTheme="minorHAnsi" w:hAnsi="Arial" w:cs="Arial"/>
        </w:rPr>
        <w:t xml:space="preserve"> </w:t>
      </w:r>
      <w:r w:rsidRPr="00337201">
        <w:rPr>
          <w:rFonts w:ascii="Arial" w:eastAsiaTheme="minorHAnsi" w:hAnsi="Arial" w:cs="Arial"/>
        </w:rPr>
        <w:t>forepaw stimulation imaged by widefield optical imaging (n=4)</w:t>
      </w:r>
      <w:r>
        <w:rPr>
          <w:rFonts w:ascii="Arial" w:eastAsiaTheme="minorHAnsi" w:hAnsi="Arial" w:cs="Arial"/>
        </w:rPr>
        <w:t xml:space="preserve"> before and after </w:t>
      </w:r>
      <w:r w:rsidRPr="00337201">
        <w:rPr>
          <w:rFonts w:ascii="Arial" w:eastAsiaTheme="minorHAnsi" w:hAnsi="Arial" w:cs="Arial"/>
        </w:rPr>
        <w:t xml:space="preserve">CYN 1540806 infusion. </w:t>
      </w:r>
      <w:r>
        <w:rPr>
          <w:rFonts w:ascii="Arial" w:eastAsiaTheme="minorHAnsi" w:hAnsi="Arial" w:cs="Arial"/>
        </w:rPr>
        <w:t>(B) DAPI expression and distance across cortical layers and</w:t>
      </w:r>
      <w:r w:rsidRPr="00F9603E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c</w:t>
      </w:r>
      <w:r w:rsidRPr="00F9603E">
        <w:rPr>
          <w:rFonts w:ascii="Arial" w:eastAsiaTheme="minorHAnsi" w:hAnsi="Arial" w:cs="Arial"/>
        </w:rPr>
        <w:t xml:space="preserve">ortical flattening of </w:t>
      </w:r>
      <w:r>
        <w:rPr>
          <w:rFonts w:ascii="Arial" w:eastAsiaTheme="minorHAnsi" w:hAnsi="Arial" w:cs="Arial"/>
        </w:rPr>
        <w:t xml:space="preserve">the </w:t>
      </w:r>
      <w:r w:rsidRPr="00F9603E">
        <w:rPr>
          <w:rFonts w:ascii="Arial" w:eastAsiaTheme="minorHAnsi" w:hAnsi="Arial" w:cs="Arial"/>
        </w:rPr>
        <w:t>S1FL area</w:t>
      </w:r>
      <w:r>
        <w:rPr>
          <w:rFonts w:ascii="Arial" w:eastAsiaTheme="minorHAnsi" w:hAnsi="Arial" w:cs="Arial"/>
        </w:rPr>
        <w:t xml:space="preserve">. </w:t>
      </w:r>
      <w:r w:rsidRPr="00FA69F6">
        <w:rPr>
          <w:rFonts w:ascii="Arial" w:eastAsiaTheme="minorHAnsi" w:hAnsi="Arial" w:cs="Arial"/>
        </w:rPr>
        <w:t xml:space="preserve">DAPI staining was used to compare cortical depth and validate the MRI layer definitions from Fig. 6. The highest DAPI density in S1FL (left) </w:t>
      </w:r>
      <w:r>
        <w:rPr>
          <w:rFonts w:ascii="Arial" w:eastAsiaTheme="minorHAnsi" w:hAnsi="Arial" w:cs="Arial"/>
        </w:rPr>
        <w:t>i</w:t>
      </w:r>
      <w:r w:rsidRPr="00FA69F6">
        <w:rPr>
          <w:rFonts w:ascii="Arial" w:eastAsiaTheme="minorHAnsi" w:hAnsi="Arial" w:cs="Arial"/>
        </w:rPr>
        <w:t>s between 400–600 µm, marking cortical layer 4, which corresponds to the 7</w:t>
      </w:r>
      <w:r w:rsidRPr="004A2018">
        <w:rPr>
          <w:rFonts w:ascii="Arial" w:eastAsiaTheme="minorHAnsi" w:hAnsi="Arial" w:cs="Arial"/>
          <w:vertAlign w:val="superscript"/>
        </w:rPr>
        <w:t>th</w:t>
      </w:r>
      <w:r>
        <w:rPr>
          <w:rFonts w:ascii="Arial" w:eastAsiaTheme="minorHAnsi" w:hAnsi="Arial" w:cs="Arial"/>
        </w:rPr>
        <w:t xml:space="preserve"> </w:t>
      </w:r>
      <w:r w:rsidRPr="00FA69F6">
        <w:rPr>
          <w:rFonts w:ascii="Arial" w:eastAsiaTheme="minorHAnsi" w:hAnsi="Arial" w:cs="Arial"/>
        </w:rPr>
        <w:t>–</w:t>
      </w:r>
      <w:r>
        <w:rPr>
          <w:rFonts w:ascii="Arial" w:eastAsiaTheme="minorHAnsi" w:hAnsi="Arial" w:cs="Arial"/>
        </w:rPr>
        <w:t xml:space="preserve"> </w:t>
      </w:r>
      <w:r w:rsidRPr="00FA69F6">
        <w:rPr>
          <w:rFonts w:ascii="Arial" w:eastAsiaTheme="minorHAnsi" w:hAnsi="Arial" w:cs="Arial"/>
        </w:rPr>
        <w:t>9</w:t>
      </w:r>
      <w:r w:rsidRPr="004A2018">
        <w:rPr>
          <w:rFonts w:ascii="Arial" w:eastAsiaTheme="minorHAnsi" w:hAnsi="Arial" w:cs="Arial"/>
          <w:vertAlign w:val="superscript"/>
        </w:rPr>
        <w:t>th</w:t>
      </w:r>
      <w:r w:rsidRPr="00FA69F6">
        <w:rPr>
          <w:rFonts w:ascii="Arial" w:eastAsiaTheme="minorHAnsi" w:hAnsi="Arial" w:cs="Arial"/>
        </w:rPr>
        <w:t xml:space="preserve"> voxel</w:t>
      </w:r>
      <w:r>
        <w:rPr>
          <w:rFonts w:ascii="Arial" w:eastAsiaTheme="minorHAnsi" w:hAnsi="Arial" w:cs="Arial"/>
        </w:rPr>
        <w:t>-</w:t>
      </w:r>
      <w:r w:rsidRPr="00FA69F6">
        <w:rPr>
          <w:rFonts w:ascii="Arial" w:eastAsiaTheme="minorHAnsi" w:hAnsi="Arial" w:cs="Arial"/>
        </w:rPr>
        <w:t>line in the MRI profile (right).</w:t>
      </w:r>
      <w:r>
        <w:rPr>
          <w:rFonts w:ascii="Arial" w:eastAsiaTheme="minorHAnsi" w:hAnsi="Arial" w:cs="Arial"/>
        </w:rPr>
        <w:t xml:space="preserve"> </w:t>
      </w:r>
      <w:r w:rsidRPr="00337201">
        <w:rPr>
          <w:rFonts w:ascii="Arial" w:eastAsiaTheme="minorHAnsi" w:hAnsi="Arial" w:cs="Arial"/>
        </w:rPr>
        <w:t>(</w:t>
      </w:r>
      <w:r>
        <w:rPr>
          <w:rFonts w:ascii="Arial" w:eastAsiaTheme="minorHAnsi" w:hAnsi="Arial" w:cs="Arial"/>
        </w:rPr>
        <w:t>C</w:t>
      </w:r>
      <w:r w:rsidRPr="00337201">
        <w:rPr>
          <w:rFonts w:ascii="Arial" w:eastAsiaTheme="minorHAnsi" w:hAnsi="Arial" w:cs="Arial"/>
        </w:rPr>
        <w:t>) CBV time</w:t>
      </w:r>
      <w:r>
        <w:rPr>
          <w:rFonts w:ascii="Arial" w:eastAsiaTheme="minorHAnsi" w:hAnsi="Arial" w:cs="Arial"/>
        </w:rPr>
        <w:t xml:space="preserve"> </w:t>
      </w:r>
      <w:r w:rsidRPr="00337201">
        <w:rPr>
          <w:rFonts w:ascii="Arial" w:eastAsiaTheme="minorHAnsi" w:hAnsi="Arial" w:cs="Arial"/>
        </w:rPr>
        <w:t>courses extracted from CBV-weighted fMRI within layer 2/3, 4 and 5</w:t>
      </w:r>
      <w:r>
        <w:rPr>
          <w:rFonts w:ascii="Arial" w:eastAsiaTheme="minorHAnsi" w:hAnsi="Arial" w:cs="Arial"/>
        </w:rPr>
        <w:t xml:space="preserve"> for </w:t>
      </w:r>
      <w:r w:rsidRPr="00337201">
        <w:rPr>
          <w:rFonts w:ascii="Arial" w:eastAsiaTheme="minorHAnsi" w:hAnsi="Arial" w:cs="Arial"/>
        </w:rPr>
        <w:t xml:space="preserve">pre-CNO, post-CNO and </w:t>
      </w:r>
      <w:r>
        <w:rPr>
          <w:rFonts w:ascii="Arial" w:eastAsiaTheme="minorHAnsi" w:hAnsi="Arial" w:cs="Arial"/>
        </w:rPr>
        <w:t xml:space="preserve">their </w:t>
      </w:r>
      <w:r w:rsidRPr="00337201">
        <w:rPr>
          <w:rFonts w:ascii="Arial" w:eastAsiaTheme="minorHAnsi" w:hAnsi="Arial" w:cs="Arial"/>
        </w:rPr>
        <w:t>diff</w:t>
      </w:r>
      <w:r>
        <w:rPr>
          <w:rFonts w:ascii="Arial" w:eastAsiaTheme="minorHAnsi" w:hAnsi="Arial" w:cs="Arial"/>
        </w:rPr>
        <w:t>erence</w:t>
      </w:r>
      <w:r w:rsidRPr="00337201">
        <w:rPr>
          <w:rFonts w:ascii="Arial" w:eastAsiaTheme="minorHAnsi" w:hAnsi="Arial" w:cs="Arial"/>
        </w:rPr>
        <w:t xml:space="preserve"> (pre - post)</w:t>
      </w:r>
      <w:r>
        <w:rPr>
          <w:rFonts w:ascii="Arial" w:eastAsiaTheme="minorHAnsi" w:hAnsi="Arial" w:cs="Arial"/>
        </w:rPr>
        <w:t xml:space="preserve"> conditions</w:t>
      </w:r>
      <w:r w:rsidRPr="00337201">
        <w:rPr>
          <w:rFonts w:ascii="Arial" w:eastAsiaTheme="minorHAnsi" w:hAnsi="Arial" w:cs="Arial"/>
        </w:rPr>
        <w:t xml:space="preserve">. </w:t>
      </w:r>
      <w:r>
        <w:rPr>
          <w:rFonts w:ascii="Arial" w:eastAsiaTheme="minorHAnsi" w:hAnsi="Arial" w:cs="Arial"/>
        </w:rPr>
        <w:t>(D) Gamma fitted curves for CBV-weighted fMRI responses at layer 2/3 and 4 before and after CNO injection. (E)</w:t>
      </w:r>
      <w:r w:rsidRPr="00F9603E">
        <w:rPr>
          <w:rFonts w:ascii="Arial" w:eastAsiaTheme="minorHAnsi" w:hAnsi="Arial" w:cs="Arial"/>
        </w:rPr>
        <w:t xml:space="preserve"> Averaged CBV response</w:t>
      </w:r>
      <w:r>
        <w:rPr>
          <w:rFonts w:ascii="Arial" w:eastAsiaTheme="minorHAnsi" w:hAnsi="Arial" w:cs="Arial"/>
        </w:rPr>
        <w:t>s</w:t>
      </w:r>
      <w:r w:rsidRPr="00F9603E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across</w:t>
      </w:r>
      <w:r w:rsidRPr="00F9603E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cortical</w:t>
      </w:r>
      <w:r w:rsidRPr="00F9603E">
        <w:rPr>
          <w:rFonts w:ascii="Arial" w:eastAsiaTheme="minorHAnsi" w:hAnsi="Arial" w:cs="Arial"/>
        </w:rPr>
        <w:t xml:space="preserve"> layers during </w:t>
      </w:r>
      <w:r>
        <w:rPr>
          <w:rFonts w:ascii="Arial" w:eastAsiaTheme="minorHAnsi" w:hAnsi="Arial" w:cs="Arial"/>
        </w:rPr>
        <w:t>the initial (1-10 s) and post-stimulus (21-30 s) period for</w:t>
      </w:r>
      <w:r w:rsidRPr="00F9603E">
        <w:rPr>
          <w:rFonts w:ascii="Arial" w:eastAsiaTheme="minorHAnsi" w:hAnsi="Arial" w:cs="Arial"/>
        </w:rPr>
        <w:t xml:space="preserve"> forepaw stimulation </w:t>
      </w:r>
      <w:r>
        <w:rPr>
          <w:rFonts w:ascii="Arial" w:eastAsiaTheme="minorHAnsi" w:hAnsi="Arial" w:cs="Arial"/>
        </w:rPr>
        <w:t>before and after CNO injection</w:t>
      </w:r>
      <w:r w:rsidRPr="00F9603E">
        <w:rPr>
          <w:rFonts w:ascii="Arial" w:eastAsiaTheme="minorHAnsi" w:hAnsi="Arial" w:cs="Arial"/>
        </w:rPr>
        <w:t xml:space="preserve">. </w:t>
      </w:r>
      <w:r w:rsidRPr="00F9603E">
        <w:rPr>
          <w:rFonts w:ascii="Arial" w:hAnsi="Arial" w:cs="Arial"/>
        </w:rPr>
        <w:t xml:space="preserve">Data are </w:t>
      </w:r>
      <w:r w:rsidRPr="00F9603E">
        <w:rPr>
          <w:rFonts w:ascii="Arial" w:hAnsi="Arial" w:cs="Arial"/>
        </w:rPr>
        <w:lastRenderedPageBreak/>
        <w:t xml:space="preserve">presented as mean </w:t>
      </w:r>
      <w:r w:rsidRPr="00F9603E">
        <w:rPr>
          <w:rFonts w:ascii="Arial" w:eastAsiaTheme="minorHAnsi" w:hAnsi="Arial" w:cs="Arial"/>
        </w:rPr>
        <w:t>±</w:t>
      </w:r>
      <w:r w:rsidRPr="00F9603E">
        <w:rPr>
          <w:rFonts w:ascii="Arial" w:hAnsi="Arial" w:cs="Arial"/>
        </w:rPr>
        <w:t xml:space="preserve"> SEM. n.s no</w:t>
      </w:r>
      <w:r>
        <w:rPr>
          <w:rFonts w:ascii="Arial" w:hAnsi="Arial" w:cs="Arial"/>
        </w:rPr>
        <w:t xml:space="preserve">t </w:t>
      </w:r>
      <w:r w:rsidRPr="00F9603E">
        <w:rPr>
          <w:rFonts w:ascii="Arial" w:hAnsi="Arial" w:cs="Arial"/>
        </w:rPr>
        <w:t>significant; * p&lt;0.05: ** p&lt;0.01; *** p&lt;0.001; **** p&lt;0.0001</w:t>
      </w:r>
      <w:r>
        <w:rPr>
          <w:rFonts w:ascii="Arial" w:hAnsi="Arial" w:cs="Arial"/>
        </w:rPr>
        <w:t xml:space="preserve"> (</w:t>
      </w:r>
      <w:r w:rsidRPr="00F9603E">
        <w:rPr>
          <w:rFonts w:ascii="Arial" w:hAnsi="Arial" w:cs="Arial"/>
        </w:rPr>
        <w:t>one-way ANOVA repeated test, multiple comparison with Turkey</w:t>
      </w:r>
      <w:r>
        <w:rPr>
          <w:rFonts w:ascii="Arial" w:hAnsi="Arial" w:cs="Arial"/>
        </w:rPr>
        <w:t>)</w:t>
      </w:r>
      <w:r w:rsidRPr="00F9603E">
        <w:rPr>
          <w:rFonts w:ascii="Arial" w:hAnsi="Arial" w:cs="Arial"/>
        </w:rPr>
        <w:t>.</w:t>
      </w:r>
    </w:p>
    <w:p w14:paraId="207552BF" w14:textId="77777777" w:rsidR="00273E5F" w:rsidRPr="001D4853" w:rsidRDefault="00273E5F" w:rsidP="00273E5F">
      <w:pPr>
        <w:rPr>
          <w:rFonts w:ascii="Arial" w:eastAsiaTheme="minorHAnsi" w:hAnsi="Arial" w:cs="Arial"/>
        </w:rPr>
      </w:pPr>
    </w:p>
    <w:p w14:paraId="7C3F8837" w14:textId="77777777" w:rsidR="00F553FF" w:rsidRDefault="00F553FF"/>
    <w:sectPr w:rsidR="00F553FF" w:rsidSect="00273E5F">
      <w:footerReference w:type="even" r:id="rId10"/>
      <w:footerReference w:type="default" r:id="rId11"/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171459669"/>
      <w:docPartObj>
        <w:docPartGallery w:val="Page Numbers (Bottom of Page)"/>
        <w:docPartUnique/>
      </w:docPartObj>
    </w:sdtPr>
    <w:sdtContent>
      <w:p w14:paraId="005FB124" w14:textId="77777777" w:rsidR="00000000" w:rsidRDefault="00000000" w:rsidP="00893FD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1B670D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10889981"/>
      <w:docPartObj>
        <w:docPartGallery w:val="Page Numbers (Bottom of Page)"/>
        <w:docPartUnique/>
      </w:docPartObj>
    </w:sdtPr>
    <w:sdtContent>
      <w:p w14:paraId="4FC37391" w14:textId="77777777" w:rsidR="00000000" w:rsidRDefault="00000000" w:rsidP="00893FD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835529A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5F"/>
    <w:rsid w:val="00273E5F"/>
    <w:rsid w:val="003C2EF4"/>
    <w:rsid w:val="00B74216"/>
    <w:rsid w:val="00BC294C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8572D"/>
  <w15:chartTrackingRefBased/>
  <w15:docId w15:val="{EDA0DE8E-9CE2-4BBC-802F-E782A372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E5F"/>
    <w:pPr>
      <w:widowControl w:val="0"/>
      <w:wordWrap w:val="0"/>
      <w:autoSpaceDE w:val="0"/>
      <w:autoSpaceDN w:val="0"/>
      <w:jc w:val="both"/>
    </w:pPr>
    <w:rPr>
      <w:rFonts w:eastAsiaTheme="minorEastAsia"/>
      <w:sz w:val="2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E5F"/>
    <w:pPr>
      <w:keepNext/>
      <w:keepLines/>
      <w:widowControl/>
      <w:wordWrap/>
      <w:autoSpaceDE/>
      <w:autoSpaceDN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E5F"/>
    <w:pPr>
      <w:keepNext/>
      <w:keepLines/>
      <w:widowControl/>
      <w:wordWrap/>
      <w:autoSpaceDE/>
      <w:autoSpaceDN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E5F"/>
    <w:pPr>
      <w:keepNext/>
      <w:keepLines/>
      <w:widowControl/>
      <w:wordWrap/>
      <w:autoSpaceDE/>
      <w:autoSpaceDN/>
      <w:spacing w:before="160" w:after="80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E5F"/>
    <w:pPr>
      <w:keepNext/>
      <w:keepLines/>
      <w:widowControl/>
      <w:wordWrap/>
      <w:autoSpaceDE/>
      <w:autoSpaceDN/>
      <w:spacing w:before="80" w:after="40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E5F"/>
    <w:pPr>
      <w:keepNext/>
      <w:keepLines/>
      <w:widowControl/>
      <w:wordWrap/>
      <w:autoSpaceDE/>
      <w:autoSpaceDN/>
      <w:spacing w:before="80" w:after="40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E5F"/>
    <w:pPr>
      <w:keepNext/>
      <w:keepLines/>
      <w:widowControl/>
      <w:wordWrap/>
      <w:autoSpaceDE/>
      <w:autoSpaceDN/>
      <w:spacing w:before="40" w:after="0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E5F"/>
    <w:pPr>
      <w:keepNext/>
      <w:keepLines/>
      <w:widowControl/>
      <w:wordWrap/>
      <w:autoSpaceDE/>
      <w:autoSpaceDN/>
      <w:spacing w:before="40" w:after="0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E5F"/>
    <w:pPr>
      <w:keepNext/>
      <w:keepLines/>
      <w:widowControl/>
      <w:wordWrap/>
      <w:autoSpaceDE/>
      <w:autoSpaceDN/>
      <w:spacing w:after="0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E5F"/>
    <w:pPr>
      <w:keepNext/>
      <w:keepLines/>
      <w:widowControl/>
      <w:wordWrap/>
      <w:autoSpaceDE/>
      <w:autoSpaceDN/>
      <w:spacing w:after="0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E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E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E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E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E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E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E5F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3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E5F"/>
    <w:pPr>
      <w:widowControl/>
      <w:numPr>
        <w:ilvl w:val="1"/>
      </w:numPr>
      <w:wordWrap/>
      <w:autoSpaceDE/>
      <w:autoSpaceDN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3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E5F"/>
    <w:pPr>
      <w:widowControl/>
      <w:wordWrap/>
      <w:autoSpaceDE/>
      <w:autoSpaceDN/>
      <w:spacing w:before="160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3E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E5F"/>
    <w:pPr>
      <w:widowControl/>
      <w:wordWrap/>
      <w:autoSpaceDE/>
      <w:autoSpaceDN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3E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E5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E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E5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73E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E5F"/>
    <w:rPr>
      <w:rFonts w:eastAsiaTheme="minorEastAsia"/>
      <w:sz w:val="20"/>
      <w:lang w:eastAsia="ko-K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73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2.xml"/><Relationship Id="rId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892</Words>
  <Characters>5088</Characters>
  <Application>Microsoft Office Word</Application>
  <DocSecurity>0</DocSecurity>
  <Lines>42</Lines>
  <Paragraphs>11</Paragraphs>
  <ScaleCrop>false</ScaleCrop>
  <Company>Springer Nature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2024-11-04T04:55:00Z</dcterms:created>
  <dcterms:modified xsi:type="dcterms:W3CDTF">2024-11-04T04:55:00Z</dcterms:modified>
</cp:coreProperties>
</file>