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0A26" w:rsidRDefault="00F367A7">
      <w:pPr>
        <w:spacing w:line="360" w:lineRule="auto"/>
        <w:jc w:val="center"/>
        <w:rPr>
          <w:rFonts w:ascii="Arial" w:eastAsia="Arial" w:hAnsi="Arial" w:cs="Arial"/>
          <w:b/>
          <w:color w:val="000000"/>
          <w:sz w:val="28"/>
          <w:szCs w:val="28"/>
        </w:rPr>
      </w:pPr>
      <w:bookmarkStart w:id="0" w:name="_GoBack"/>
      <w:bookmarkEnd w:id="0"/>
      <w:r>
        <w:rPr>
          <w:rFonts w:ascii="Arial" w:eastAsia="Arial" w:hAnsi="Arial" w:cs="Arial"/>
          <w:b/>
          <w:sz w:val="28"/>
          <w:szCs w:val="28"/>
        </w:rPr>
        <w:t>COMPLEX HYDROGEN BONDING LEADS TO COOPERATIVITY BETWEEN ANTIPARALLEL POLYPROLINE II HELICE</w:t>
      </w:r>
      <w:r>
        <w:rPr>
          <w:rFonts w:ascii="Arial" w:eastAsia="Arial" w:hAnsi="Arial" w:cs="Arial"/>
          <w:b/>
          <w:color w:val="000000"/>
          <w:sz w:val="28"/>
          <w:szCs w:val="28"/>
        </w:rPr>
        <w:t>S</w:t>
      </w:r>
    </w:p>
    <w:p w:rsidR="00D50A26" w:rsidRDefault="00D50A26">
      <w:pPr>
        <w:spacing w:line="360" w:lineRule="auto"/>
        <w:jc w:val="center"/>
        <w:rPr>
          <w:rFonts w:ascii="Arial" w:eastAsia="Arial" w:hAnsi="Arial" w:cs="Arial"/>
          <w:color w:val="000000"/>
        </w:rPr>
      </w:pPr>
    </w:p>
    <w:p w:rsidR="00D50A26" w:rsidRDefault="00F367A7">
      <w:pPr>
        <w:spacing w:line="360" w:lineRule="auto"/>
        <w:jc w:val="center"/>
      </w:pPr>
      <w:r>
        <w:rPr>
          <w:rFonts w:ascii="Arial" w:eastAsia="Arial" w:hAnsi="Arial" w:cs="Arial"/>
          <w:color w:val="000000"/>
          <w:sz w:val="28"/>
          <w:szCs w:val="28"/>
        </w:rPr>
        <w:t>Rubén López-Sánchez</w:t>
      </w:r>
      <w:r>
        <w:rPr>
          <w:rFonts w:ascii="Arial" w:eastAsia="Arial" w:hAnsi="Arial" w:cs="Arial"/>
          <w:color w:val="000000"/>
          <w:sz w:val="28"/>
          <w:szCs w:val="28"/>
          <w:vertAlign w:val="superscript"/>
        </w:rPr>
        <w:t>1</w:t>
      </w:r>
      <w:r>
        <w:rPr>
          <w:rFonts w:ascii="Arial" w:eastAsia="Arial" w:hAnsi="Arial" w:cs="Arial"/>
          <w:color w:val="000000"/>
          <w:sz w:val="28"/>
          <w:szCs w:val="28"/>
        </w:rPr>
        <w:t>, Miguel Mompeán</w:t>
      </w:r>
      <w:r>
        <w:rPr>
          <w:rFonts w:ascii="Arial" w:eastAsia="Arial" w:hAnsi="Arial" w:cs="Arial"/>
          <w:color w:val="000000"/>
          <w:sz w:val="28"/>
          <w:szCs w:val="28"/>
          <w:vertAlign w:val="superscript"/>
        </w:rPr>
        <w:t>1,*</w:t>
      </w:r>
      <w:r>
        <w:rPr>
          <w:rFonts w:ascii="Arial" w:eastAsia="Arial" w:hAnsi="Arial" w:cs="Arial"/>
          <w:color w:val="000000"/>
          <w:sz w:val="28"/>
          <w:szCs w:val="28"/>
        </w:rPr>
        <w:t xml:space="preserve"> and </w:t>
      </w:r>
      <w:r>
        <w:rPr>
          <w:rFonts w:ascii="Arial" w:eastAsia="Arial" w:hAnsi="Arial" w:cs="Arial"/>
          <w:sz w:val="28"/>
          <w:szCs w:val="28"/>
        </w:rPr>
        <w:t>Douglas V. Laurents</w:t>
      </w:r>
      <w:r>
        <w:rPr>
          <w:rFonts w:ascii="Arial" w:eastAsia="Arial" w:hAnsi="Arial" w:cs="Arial"/>
          <w:sz w:val="28"/>
          <w:szCs w:val="28"/>
          <w:vertAlign w:val="superscript"/>
        </w:rPr>
        <w:t>1,*</w:t>
      </w:r>
    </w:p>
    <w:p w:rsidR="00D50A26" w:rsidRDefault="00D50A26">
      <w:pPr>
        <w:spacing w:line="360" w:lineRule="auto"/>
        <w:jc w:val="center"/>
        <w:rPr>
          <w:rFonts w:ascii="Arial" w:eastAsia="Arial" w:hAnsi="Arial" w:cs="Arial"/>
          <w:color w:val="000000"/>
        </w:rPr>
      </w:pPr>
    </w:p>
    <w:p w:rsidR="00D50A26" w:rsidRDefault="00F367A7">
      <w:pPr>
        <w:spacing w:line="360" w:lineRule="auto"/>
        <w:jc w:val="center"/>
      </w:pPr>
      <w:r>
        <w:rPr>
          <w:rFonts w:ascii="Arial" w:eastAsia="Arial" w:hAnsi="Arial" w:cs="Arial"/>
          <w:color w:val="000000"/>
          <w:vertAlign w:val="superscript"/>
        </w:rPr>
        <w:t>1</w:t>
      </w:r>
      <w:r>
        <w:rPr>
          <w:rFonts w:ascii="Arial" w:eastAsia="Arial" w:hAnsi="Arial" w:cs="Arial"/>
          <w:color w:val="000000"/>
        </w:rPr>
        <w:t>Instituto de Química Física “</w:t>
      </w:r>
      <w:r>
        <w:rPr>
          <w:rFonts w:ascii="Arial" w:eastAsia="Arial" w:hAnsi="Arial" w:cs="Arial"/>
        </w:rPr>
        <w:t>Blas Cabrera</w:t>
      </w:r>
      <w:r>
        <w:rPr>
          <w:rFonts w:ascii="Arial" w:eastAsia="Arial" w:hAnsi="Arial" w:cs="Arial"/>
          <w:color w:val="000000"/>
        </w:rPr>
        <w:t>” - CSIC, Serrano 119, 28006 Madrid Spain</w:t>
      </w:r>
    </w:p>
    <w:p w:rsidR="00D50A26" w:rsidRDefault="00F367A7">
      <w:pPr>
        <w:widowControl w:val="0"/>
        <w:spacing w:line="360" w:lineRule="auto"/>
        <w:jc w:val="center"/>
      </w:pPr>
      <w:r>
        <w:rPr>
          <w:rFonts w:ascii="Arial" w:eastAsia="Arial" w:hAnsi="Arial" w:cs="Arial"/>
        </w:rPr>
        <w:t xml:space="preserve">*Correspondence: </w:t>
      </w:r>
      <w:hyperlink r:id="rId6">
        <w:r>
          <w:rPr>
            <w:rFonts w:ascii="Arial" w:eastAsia="Arial" w:hAnsi="Arial" w:cs="Arial"/>
            <w:color w:val="1155CC"/>
            <w:u w:val="single"/>
          </w:rPr>
          <w:t>dlaurents@iqfr.csic.es</w:t>
        </w:r>
      </w:hyperlink>
      <w:r>
        <w:rPr>
          <w:rFonts w:ascii="Arial" w:eastAsia="Arial" w:hAnsi="Arial" w:cs="Arial"/>
        </w:rPr>
        <w:t xml:space="preserve">, </w:t>
      </w:r>
      <w:hyperlink r:id="rId7">
        <w:r>
          <w:rPr>
            <w:rFonts w:ascii="Arial" w:eastAsia="Arial" w:hAnsi="Arial" w:cs="Arial"/>
            <w:color w:val="1155CC"/>
            <w:u w:val="single"/>
          </w:rPr>
          <w:t>mmompean@iqfr.csic.es</w:t>
        </w:r>
      </w:hyperlink>
    </w:p>
    <w:p w:rsidR="00D50A26" w:rsidRDefault="00D50A26">
      <w:pPr>
        <w:spacing w:line="360" w:lineRule="auto"/>
        <w:jc w:val="center"/>
        <w:rPr>
          <w:rFonts w:ascii="Arial" w:eastAsia="Arial" w:hAnsi="Arial" w:cs="Arial"/>
          <w:color w:val="000000"/>
        </w:rPr>
      </w:pPr>
    </w:p>
    <w:p w:rsidR="00D50A26" w:rsidRDefault="00D50A26">
      <w:pPr>
        <w:spacing w:line="360" w:lineRule="auto"/>
        <w:jc w:val="center"/>
        <w:rPr>
          <w:rFonts w:ascii="Arial" w:eastAsia="Arial" w:hAnsi="Arial" w:cs="Arial"/>
          <w:b/>
        </w:rPr>
      </w:pPr>
    </w:p>
    <w:p w:rsidR="00D50A26" w:rsidRDefault="00F367A7">
      <w:pPr>
        <w:spacing w:line="360" w:lineRule="auto"/>
        <w:jc w:val="center"/>
        <w:rPr>
          <w:rFonts w:ascii="Arial" w:eastAsia="Arial" w:hAnsi="Arial" w:cs="Arial"/>
          <w:b/>
          <w:color w:val="000000"/>
        </w:rPr>
      </w:pPr>
      <w:r>
        <w:rPr>
          <w:rFonts w:ascii="Arial" w:eastAsia="Arial" w:hAnsi="Arial" w:cs="Arial"/>
          <w:b/>
          <w:color w:val="000000"/>
        </w:rPr>
        <w:t>Supporting Material Contents</w:t>
      </w:r>
    </w:p>
    <w:p w:rsidR="00D50A26" w:rsidRDefault="00D50A26">
      <w:pPr>
        <w:spacing w:line="360" w:lineRule="auto"/>
        <w:jc w:val="both"/>
        <w:rPr>
          <w:rFonts w:ascii="Arial" w:eastAsia="Arial" w:hAnsi="Arial" w:cs="Arial"/>
          <w:b/>
        </w:rPr>
      </w:pPr>
    </w:p>
    <w:p w:rsidR="00D50A26" w:rsidRDefault="00F367A7">
      <w:pPr>
        <w:spacing w:line="360" w:lineRule="auto"/>
        <w:jc w:val="both"/>
      </w:pPr>
      <w:r>
        <w:rPr>
          <w:rFonts w:ascii="Arial" w:eastAsia="Arial" w:hAnsi="Arial" w:cs="Arial"/>
          <w:b/>
        </w:rPr>
        <w:t>Additional Methods and Results:</w:t>
      </w:r>
      <w:r>
        <w:rPr>
          <w:rFonts w:ascii="Arial" w:eastAsia="Arial" w:hAnsi="Arial" w:cs="Arial"/>
        </w:rPr>
        <w:t xml:space="preserve"> QTAIM analysis and SAPT methodology.</w:t>
      </w:r>
    </w:p>
    <w:p w:rsidR="00D50A26" w:rsidRDefault="00F367A7">
      <w:pPr>
        <w:spacing w:line="360" w:lineRule="auto"/>
        <w:jc w:val="both"/>
      </w:pPr>
      <w:r>
        <w:rPr>
          <w:rFonts w:ascii="Arial" w:eastAsia="Arial" w:hAnsi="Arial" w:cs="Arial"/>
          <w:b/>
        </w:rPr>
        <w:t>Table S1:</w:t>
      </w:r>
      <w:r>
        <w:rPr>
          <w:rFonts w:ascii="Arial" w:eastAsia="Arial" w:hAnsi="Arial" w:cs="Arial"/>
        </w:rPr>
        <w:t xml:space="preserve"> Mean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H-bond between antiparallel PPII helices.</w:t>
      </w:r>
    </w:p>
    <w:p w:rsidR="00D50A26" w:rsidRDefault="00F367A7">
      <w:pPr>
        <w:spacing w:line="360" w:lineRule="auto"/>
        <w:jc w:val="both"/>
      </w:pPr>
      <w:r>
        <w:rPr>
          <w:rFonts w:ascii="Arial" w:eastAsia="Arial" w:hAnsi="Arial" w:cs="Arial"/>
          <w:b/>
        </w:rPr>
        <w:t>Table S2:</w:t>
      </w:r>
      <w:r>
        <w:rPr>
          <w:rFonts w:ascii="Arial" w:eastAsia="Arial" w:hAnsi="Arial" w:cs="Arial"/>
        </w:rPr>
        <w:t xml:space="preserve"> Mean Laplacian of the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H-bond between antiparallel P</w:t>
      </w:r>
      <w:r>
        <w:rPr>
          <w:rFonts w:ascii="Arial" w:eastAsia="Arial" w:hAnsi="Arial" w:cs="Arial"/>
        </w:rPr>
        <w:t>PII helices.</w:t>
      </w:r>
    </w:p>
    <w:p w:rsidR="00D50A26" w:rsidRDefault="00F367A7">
      <w:pPr>
        <w:spacing w:line="360" w:lineRule="auto"/>
        <w:jc w:val="both"/>
      </w:pPr>
      <w:r>
        <w:rPr>
          <w:rFonts w:ascii="Arial" w:eastAsia="Arial" w:hAnsi="Arial" w:cs="Arial"/>
          <w:b/>
        </w:rPr>
        <w:t>Figure S1:</w:t>
      </w:r>
      <w:r>
        <w:rPr>
          <w:rFonts w:ascii="Arial" w:eastAsia="Arial" w:hAnsi="Arial" w:cs="Arial"/>
        </w:rPr>
        <w:t xml:space="preserve"> Mean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mean Laplacian of the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H-bond between antiparallel PPII helices.</w:t>
      </w:r>
    </w:p>
    <w:p w:rsidR="00D50A26" w:rsidRDefault="00F367A7">
      <w:pPr>
        <w:spacing w:line="360" w:lineRule="auto"/>
        <w:jc w:val="both"/>
      </w:pPr>
      <w:r>
        <w:rPr>
          <w:rFonts w:ascii="Arial" w:eastAsia="Arial" w:hAnsi="Arial" w:cs="Arial"/>
          <w:b/>
        </w:rPr>
        <w:t>Table S3:</w:t>
      </w:r>
      <w:r>
        <w:rPr>
          <w:rFonts w:ascii="Arial" w:eastAsia="Arial" w:hAnsi="Arial" w:cs="Arial"/>
        </w:rPr>
        <w:t xml:space="preserve"> Mean distance between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oxygen atom</w:t>
      </w:r>
      <w:r>
        <w:rPr>
          <w:rFonts w:ascii="Arial" w:eastAsia="Arial" w:hAnsi="Arial" w:cs="Arial"/>
        </w:rPr>
        <w:t>s for each H-bond between antiparallel PPII helices.</w:t>
      </w:r>
    </w:p>
    <w:p w:rsidR="00D50A26" w:rsidRDefault="00F367A7">
      <w:pPr>
        <w:spacing w:line="360" w:lineRule="auto"/>
        <w:jc w:val="both"/>
      </w:pPr>
      <w:r>
        <w:rPr>
          <w:rFonts w:ascii="Arial" w:eastAsia="Arial" w:hAnsi="Arial" w:cs="Arial"/>
          <w:b/>
        </w:rPr>
        <w:t>Table S4:</w:t>
      </w:r>
      <w:r>
        <w:rPr>
          <w:rFonts w:ascii="Arial" w:eastAsia="Arial" w:hAnsi="Arial" w:cs="Arial"/>
        </w:rPr>
        <w:t xml:space="preserve"> Mean distance between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hydrogen atoms for each H-bond between antiparallel PPII helices.</w:t>
      </w:r>
    </w:p>
    <w:p w:rsidR="00D50A26" w:rsidRDefault="00F367A7">
      <w:pPr>
        <w:spacing w:line="360" w:lineRule="auto"/>
        <w:jc w:val="both"/>
        <w:rPr>
          <w:rFonts w:ascii="Arial" w:eastAsia="Arial" w:hAnsi="Arial" w:cs="Arial"/>
        </w:rPr>
      </w:pPr>
      <w:r>
        <w:rPr>
          <w:rFonts w:ascii="Arial" w:eastAsia="Arial" w:hAnsi="Arial" w:cs="Arial"/>
          <w:b/>
        </w:rPr>
        <w:t>Figure S2:</w:t>
      </w:r>
      <w:r>
        <w:rPr>
          <w:rFonts w:ascii="Arial" w:eastAsia="Arial" w:hAnsi="Arial" w:cs="Arial"/>
        </w:rPr>
        <w:t xml:space="preserve"> Mean distance between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oxygen atoms and mean distance between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xml:space="preserve">) and hydrogen atoms for each H-bond between antiparallel PPII helices. </w:t>
      </w:r>
    </w:p>
    <w:p w:rsidR="00D50A26" w:rsidRDefault="00F367A7">
      <w:pPr>
        <w:spacing w:line="360" w:lineRule="auto"/>
        <w:jc w:val="both"/>
        <w:rPr>
          <w:rFonts w:ascii="Arial" w:eastAsia="Arial" w:hAnsi="Arial" w:cs="Arial"/>
        </w:rPr>
      </w:pPr>
      <w:r>
        <w:rPr>
          <w:rFonts w:ascii="Arial" w:eastAsia="Arial" w:hAnsi="Arial" w:cs="Arial"/>
          <w:b/>
        </w:rPr>
        <w:t>Table S5</w:t>
      </w:r>
      <w:r>
        <w:rPr>
          <w:rFonts w:ascii="Arial" w:eastAsia="Arial" w:hAnsi="Arial" w:cs="Arial"/>
        </w:rPr>
        <w:t xml:space="preserve">: Mean electrostatic component of the SAPT interaction energy between the molecules that reproduce each H-bond </w:t>
      </w:r>
      <w:r>
        <w:rPr>
          <w:rFonts w:ascii="Arial" w:eastAsia="Arial" w:hAnsi="Arial" w:cs="Arial"/>
        </w:rPr>
        <w:t>between antiparallel PPII helices.</w:t>
      </w:r>
    </w:p>
    <w:p w:rsidR="00D50A26" w:rsidRDefault="00F367A7">
      <w:pPr>
        <w:spacing w:line="360" w:lineRule="auto"/>
        <w:jc w:val="both"/>
        <w:rPr>
          <w:rFonts w:ascii="Arial" w:eastAsia="Arial" w:hAnsi="Arial" w:cs="Arial"/>
        </w:rPr>
      </w:pPr>
      <w:r>
        <w:rPr>
          <w:rFonts w:ascii="Arial" w:eastAsia="Arial" w:hAnsi="Arial" w:cs="Arial"/>
          <w:b/>
        </w:rPr>
        <w:t>Table S6</w:t>
      </w:r>
      <w:r>
        <w:rPr>
          <w:rFonts w:ascii="Arial" w:eastAsia="Arial" w:hAnsi="Arial" w:cs="Arial"/>
        </w:rPr>
        <w:t>: Mean induction component of the SAPT interaction energy between the molecules that reproduce each H-bond between antiparallel PPII helices.</w:t>
      </w:r>
    </w:p>
    <w:p w:rsidR="00D50A26" w:rsidRDefault="00F367A7">
      <w:pPr>
        <w:spacing w:line="360" w:lineRule="auto"/>
        <w:jc w:val="both"/>
        <w:rPr>
          <w:rFonts w:ascii="Arial" w:eastAsia="Arial" w:hAnsi="Arial" w:cs="Arial"/>
        </w:rPr>
      </w:pPr>
      <w:r>
        <w:rPr>
          <w:rFonts w:ascii="Arial" w:eastAsia="Arial" w:hAnsi="Arial" w:cs="Arial"/>
          <w:b/>
        </w:rPr>
        <w:t>Table S7</w:t>
      </w:r>
      <w:r>
        <w:rPr>
          <w:rFonts w:ascii="Arial" w:eastAsia="Arial" w:hAnsi="Arial" w:cs="Arial"/>
        </w:rPr>
        <w:t>: Mean dispersion component of the SAPT interaction energy betw</w:t>
      </w:r>
      <w:r>
        <w:rPr>
          <w:rFonts w:ascii="Arial" w:eastAsia="Arial" w:hAnsi="Arial" w:cs="Arial"/>
        </w:rPr>
        <w:t>een the molecules that reproduce each H-bond between antiparallel PPII helices.</w:t>
      </w:r>
    </w:p>
    <w:p w:rsidR="00D50A26" w:rsidRDefault="00F367A7">
      <w:pPr>
        <w:spacing w:line="360" w:lineRule="auto"/>
        <w:jc w:val="both"/>
        <w:rPr>
          <w:rFonts w:ascii="Arial" w:eastAsia="Arial" w:hAnsi="Arial" w:cs="Arial"/>
        </w:rPr>
      </w:pPr>
      <w:r>
        <w:rPr>
          <w:rFonts w:ascii="Arial" w:eastAsia="Arial" w:hAnsi="Arial" w:cs="Arial"/>
          <w:b/>
        </w:rPr>
        <w:lastRenderedPageBreak/>
        <w:t>Figure S3</w:t>
      </w:r>
      <w:r>
        <w:rPr>
          <w:rFonts w:ascii="Arial" w:eastAsia="Arial" w:hAnsi="Arial" w:cs="Arial"/>
        </w:rPr>
        <w:t>: Mean electrostatic, mean induction and mean dispersion components of the SAPT interaction energy between the molecules that reproduce each H-bond between antiparalle</w:t>
      </w:r>
      <w:r>
        <w:rPr>
          <w:rFonts w:ascii="Arial" w:eastAsia="Arial" w:hAnsi="Arial" w:cs="Arial"/>
        </w:rPr>
        <w:t>l PPII helices.</w:t>
      </w:r>
    </w:p>
    <w:p w:rsidR="00D50A26" w:rsidRDefault="00F367A7">
      <w:pPr>
        <w:spacing w:line="360" w:lineRule="auto"/>
        <w:jc w:val="both"/>
        <w:rPr>
          <w:rFonts w:ascii="Arial" w:eastAsia="Arial" w:hAnsi="Arial" w:cs="Arial"/>
        </w:rPr>
      </w:pPr>
      <w:r>
        <w:rPr>
          <w:rFonts w:ascii="Arial" w:eastAsia="Arial" w:hAnsi="Arial" w:cs="Arial"/>
          <w:b/>
        </w:rPr>
        <w:t>Table S8</w:t>
      </w:r>
      <w:r>
        <w:rPr>
          <w:rFonts w:ascii="Arial" w:eastAsia="Arial" w:hAnsi="Arial" w:cs="Arial"/>
        </w:rPr>
        <w:t>: Mean exchange component of the SAPT interaction energy between the molecules that reproduce each H-bond between antiparallel PPII helices.</w:t>
      </w:r>
    </w:p>
    <w:p w:rsidR="00D50A26" w:rsidRDefault="00F367A7">
      <w:pPr>
        <w:spacing w:line="360" w:lineRule="auto"/>
        <w:jc w:val="both"/>
        <w:rPr>
          <w:rFonts w:ascii="Arial" w:eastAsia="Arial" w:hAnsi="Arial" w:cs="Arial"/>
        </w:rPr>
      </w:pPr>
      <w:r>
        <w:rPr>
          <w:rFonts w:ascii="Arial" w:eastAsia="Arial" w:hAnsi="Arial" w:cs="Arial"/>
          <w:b/>
        </w:rPr>
        <w:t>Table S9</w:t>
      </w:r>
      <w:r>
        <w:rPr>
          <w:rFonts w:ascii="Arial" w:eastAsia="Arial" w:hAnsi="Arial" w:cs="Arial"/>
        </w:rPr>
        <w:t>: Mean total SAPT interaction energy between the molecules that reproduce each H-bo</w:t>
      </w:r>
      <w:r>
        <w:rPr>
          <w:rFonts w:ascii="Arial" w:eastAsia="Arial" w:hAnsi="Arial" w:cs="Arial"/>
        </w:rPr>
        <w:t>nd between antiparallel PPII helices.</w:t>
      </w:r>
    </w:p>
    <w:p w:rsidR="00D50A26" w:rsidRDefault="00F367A7">
      <w:pPr>
        <w:spacing w:line="360" w:lineRule="auto"/>
        <w:jc w:val="both"/>
        <w:rPr>
          <w:rFonts w:ascii="Arial" w:eastAsia="Arial" w:hAnsi="Arial" w:cs="Arial"/>
        </w:rPr>
      </w:pPr>
      <w:r>
        <w:rPr>
          <w:rFonts w:ascii="Arial" w:eastAsia="Arial" w:hAnsi="Arial" w:cs="Arial"/>
          <w:b/>
        </w:rPr>
        <w:t>Figure S4</w:t>
      </w:r>
      <w:r>
        <w:rPr>
          <w:rFonts w:ascii="Arial" w:eastAsia="Arial" w:hAnsi="Arial" w:cs="Arial"/>
        </w:rPr>
        <w:t>: Mean exchange component of the SAPT interaction energy and mean total SAPT interaction energy between the molecules that reproduce each H-bond between antiparallel PPII helices.</w:t>
      </w:r>
    </w:p>
    <w:p w:rsidR="00D50A26" w:rsidRDefault="00F367A7">
      <w:pPr>
        <w:spacing w:line="360" w:lineRule="auto"/>
        <w:jc w:val="both"/>
        <w:rPr>
          <w:rFonts w:ascii="Arial" w:eastAsia="Arial" w:hAnsi="Arial" w:cs="Arial"/>
        </w:rPr>
      </w:pPr>
      <w:r>
        <w:rPr>
          <w:rFonts w:ascii="Arial" w:eastAsia="Arial" w:hAnsi="Arial" w:cs="Arial"/>
          <w:b/>
        </w:rPr>
        <w:t>Figure S5</w:t>
      </w:r>
      <w:r>
        <w:rPr>
          <w:rFonts w:ascii="Arial" w:eastAsia="Arial" w:hAnsi="Arial" w:cs="Arial"/>
        </w:rPr>
        <w:t>. Percentage of each</w:t>
      </w:r>
      <w:r>
        <w:rPr>
          <w:rFonts w:ascii="Arial" w:eastAsia="Arial" w:hAnsi="Arial" w:cs="Arial"/>
        </w:rPr>
        <w:t xml:space="preserve"> attractive component to the total attractive SAPT energy for the molecules that reproduce the CO···HN H-bonds.</w:t>
      </w:r>
    </w:p>
    <w:p w:rsidR="00D50A26" w:rsidRDefault="00F367A7">
      <w:pPr>
        <w:spacing w:line="360" w:lineRule="auto"/>
        <w:jc w:val="both"/>
        <w:rPr>
          <w:rFonts w:ascii="Arial" w:eastAsia="Arial" w:hAnsi="Arial" w:cs="Arial"/>
        </w:rPr>
      </w:pPr>
      <w:r>
        <w:rPr>
          <w:rFonts w:ascii="Arial" w:eastAsia="Arial" w:hAnsi="Arial" w:cs="Arial"/>
          <w:b/>
        </w:rPr>
        <w:t>Figure S6</w:t>
      </w:r>
      <w:r>
        <w:rPr>
          <w:rFonts w:ascii="Arial" w:eastAsia="Arial" w:hAnsi="Arial" w:cs="Arial"/>
        </w:rPr>
        <w:t>. Percentage of each attractive component to the total attractive SAPT energy for the molecules that reproduce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H</w:t>
      </w:r>
      <w:r>
        <w:rPr>
          <w:rFonts w:ascii="Arial" w:eastAsia="Arial" w:hAnsi="Arial" w:cs="Arial"/>
        </w:rPr>
        <w:t>-bonds.</w:t>
      </w:r>
    </w:p>
    <w:p w:rsidR="00D50A26" w:rsidRDefault="00F367A7">
      <w:pPr>
        <w:spacing w:line="360" w:lineRule="auto"/>
        <w:jc w:val="both"/>
        <w:rPr>
          <w:rFonts w:ascii="Arial" w:eastAsia="Arial" w:hAnsi="Arial" w:cs="Arial"/>
        </w:rPr>
      </w:pPr>
      <w:r>
        <w:rPr>
          <w:rFonts w:ascii="Arial" w:eastAsia="Arial" w:hAnsi="Arial" w:cs="Arial"/>
          <w:b/>
        </w:rPr>
        <w:t>Figure S7</w:t>
      </w:r>
      <w:r>
        <w:rPr>
          <w:rFonts w:ascii="Arial" w:eastAsia="Arial" w:hAnsi="Arial" w:cs="Arial"/>
        </w:rPr>
        <w:t>. Percentage of each attractive component to the total attractive SAPT energy for the molecules that reproduce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w:t>
      </w:r>
    </w:p>
    <w:p w:rsidR="00D50A26" w:rsidRDefault="00F367A7">
      <w:pPr>
        <w:spacing w:line="360" w:lineRule="auto"/>
        <w:jc w:val="both"/>
        <w:rPr>
          <w:rFonts w:ascii="Arial" w:eastAsia="Arial" w:hAnsi="Arial" w:cs="Arial"/>
        </w:rPr>
      </w:pPr>
      <w:r>
        <w:rPr>
          <w:rFonts w:ascii="Arial" w:eastAsia="Arial" w:hAnsi="Arial" w:cs="Arial"/>
          <w:b/>
        </w:rPr>
        <w:t>Figure S8</w:t>
      </w:r>
      <w:r>
        <w:rPr>
          <w:rFonts w:ascii="Arial" w:eastAsia="Arial" w:hAnsi="Arial" w:cs="Arial"/>
        </w:rPr>
        <w:t>. Percentage of each attractive component to the total attractive SAPT energy for the molecules that reproduce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w:t>
      </w:r>
    </w:p>
    <w:p w:rsidR="00D50A26" w:rsidRDefault="00F367A7">
      <w:pPr>
        <w:spacing w:line="360" w:lineRule="auto"/>
        <w:jc w:val="both"/>
      </w:pPr>
      <w:r>
        <w:rPr>
          <w:rFonts w:ascii="Arial" w:eastAsia="Arial" w:hAnsi="Arial" w:cs="Arial"/>
          <w:b/>
        </w:rPr>
        <w:t xml:space="preserve">Table S10: </w:t>
      </w:r>
      <w:r>
        <w:rPr>
          <w:rFonts w:ascii="Arial" w:eastAsia="Arial" w:hAnsi="Arial" w:cs="Arial"/>
        </w:rPr>
        <w:t>Mean variation of the HBS between the molecules that reproduce each H-bond, and occupancy</w:t>
      </w:r>
      <w:r>
        <w:rPr>
          <w:rFonts w:ascii="Arial" w:eastAsia="Arial" w:hAnsi="Arial" w:cs="Arial"/>
        </w:rPr>
        <w:t xml:space="preserve"> of the σ*(NH/C</w:t>
      </w:r>
      <w:r>
        <w:rPr>
          <w:rFonts w:ascii="Arial" w:eastAsia="Arial" w:hAnsi="Arial" w:cs="Arial"/>
          <w:vertAlign w:val="subscript"/>
        </w:rPr>
        <w:t>α</w:t>
      </w:r>
      <w:r>
        <w:rPr>
          <w:rFonts w:ascii="Arial" w:eastAsia="Arial" w:hAnsi="Arial" w:cs="Arial"/>
        </w:rPr>
        <w:t>H</w:t>
      </w:r>
      <w:r>
        <w:rPr>
          <w:rFonts w:ascii="Arial" w:eastAsia="Arial" w:hAnsi="Arial" w:cs="Arial"/>
          <w:vertAlign w:val="subscript"/>
        </w:rPr>
        <w:t>α</w:t>
      </w:r>
      <w:r>
        <w:rPr>
          <w:rFonts w:ascii="Arial Unicode MS" w:eastAsia="Arial Unicode MS" w:hAnsi="Arial Unicode MS" w:cs="Arial Unicode MS"/>
        </w:rPr>
        <w:t>) orbitals, stabilization energy of the n(O)/σ(CO)/π(CO)→σ*(NH/C</w:t>
      </w:r>
      <w:r>
        <w:rPr>
          <w:rFonts w:ascii="Arial" w:eastAsia="Arial" w:hAnsi="Arial" w:cs="Arial"/>
          <w:vertAlign w:val="subscript"/>
        </w:rPr>
        <w:t>α</w:t>
      </w:r>
      <w:r>
        <w:rPr>
          <w:rFonts w:ascii="Arial" w:eastAsia="Arial" w:hAnsi="Arial" w:cs="Arial"/>
        </w:rPr>
        <w:t>H</w:t>
      </w:r>
      <w:r>
        <w:rPr>
          <w:rFonts w:ascii="Arial" w:eastAsia="Arial" w:hAnsi="Arial" w:cs="Arial"/>
          <w:vertAlign w:val="subscript"/>
        </w:rPr>
        <w:t>α</w:t>
      </w:r>
      <w:r>
        <w:rPr>
          <w:rFonts w:ascii="Arial" w:eastAsia="Arial" w:hAnsi="Arial" w:cs="Arial"/>
        </w:rPr>
        <w:t>) electron delocalization,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Laplacian of the electron density of the BCPs(Ọ···H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H-bond between antiparallel PPII helices.</w:t>
      </w:r>
    </w:p>
    <w:p w:rsidR="00D50A26" w:rsidRDefault="00F367A7">
      <w:pPr>
        <w:spacing w:line="360" w:lineRule="auto"/>
        <w:jc w:val="both"/>
      </w:pPr>
      <w:r>
        <w:rPr>
          <w:rFonts w:ascii="Arial" w:eastAsia="Arial" w:hAnsi="Arial" w:cs="Arial"/>
          <w:b/>
        </w:rPr>
        <w:t xml:space="preserve">Table S11: </w:t>
      </w:r>
      <w:r>
        <w:rPr>
          <w:rFonts w:ascii="Arial" w:eastAsia="Arial" w:hAnsi="Arial" w:cs="Arial"/>
        </w:rPr>
        <w:t>Mean distance between oxygen and hydrogen atoms for each H-bond between antiparallel PPII helices.</w:t>
      </w:r>
    </w:p>
    <w:p w:rsidR="00D50A26" w:rsidRDefault="00F367A7">
      <w:pPr>
        <w:spacing w:line="360" w:lineRule="auto"/>
        <w:jc w:val="both"/>
        <w:rPr>
          <w:rFonts w:ascii="Arial" w:eastAsia="Arial" w:hAnsi="Arial" w:cs="Arial"/>
          <w:b/>
        </w:rPr>
      </w:pPr>
      <w:r>
        <w:rPr>
          <w:rFonts w:ascii="Arial" w:eastAsia="Arial" w:hAnsi="Arial" w:cs="Arial"/>
          <w:b/>
        </w:rPr>
        <w:t>Figure S9:</w:t>
      </w:r>
      <w:r>
        <w:rPr>
          <w:rFonts w:ascii="Arial" w:eastAsia="Arial" w:hAnsi="Arial" w:cs="Arial"/>
        </w:rPr>
        <w:t xml:space="preserve"> Mean distance between oxygen and hydrogen atoms for each H-bond between antiparall</w:t>
      </w:r>
      <w:r>
        <w:rPr>
          <w:rFonts w:ascii="Arial" w:eastAsia="Arial" w:hAnsi="Arial" w:cs="Arial"/>
        </w:rPr>
        <w:t>el PPII helices.</w:t>
      </w:r>
    </w:p>
    <w:p w:rsidR="00D50A26" w:rsidRDefault="00D50A26">
      <w:pPr>
        <w:spacing w:line="360" w:lineRule="auto"/>
        <w:jc w:val="both"/>
        <w:rPr>
          <w:rFonts w:ascii="Arial" w:eastAsia="Arial" w:hAnsi="Arial" w:cs="Arial"/>
          <w:b/>
        </w:rPr>
      </w:pPr>
    </w:p>
    <w:p w:rsidR="00D50A26" w:rsidRDefault="00D50A26">
      <w:pPr>
        <w:spacing w:line="360" w:lineRule="auto"/>
        <w:jc w:val="both"/>
        <w:rPr>
          <w:rFonts w:ascii="Arial" w:eastAsia="Arial" w:hAnsi="Arial" w:cs="Arial"/>
          <w:b/>
        </w:rPr>
      </w:pPr>
    </w:p>
    <w:p w:rsidR="00D50A26" w:rsidRDefault="00D50A26">
      <w:pPr>
        <w:spacing w:line="360" w:lineRule="auto"/>
        <w:jc w:val="both"/>
        <w:rPr>
          <w:rFonts w:ascii="Arial" w:eastAsia="Arial" w:hAnsi="Arial" w:cs="Arial"/>
          <w:b/>
        </w:rPr>
      </w:pPr>
    </w:p>
    <w:p w:rsidR="00D50A26" w:rsidRDefault="00D50A26">
      <w:pPr>
        <w:spacing w:line="360" w:lineRule="auto"/>
        <w:jc w:val="both"/>
        <w:rPr>
          <w:rFonts w:ascii="Arial" w:eastAsia="Arial" w:hAnsi="Arial" w:cs="Arial"/>
          <w:b/>
        </w:rPr>
      </w:pPr>
    </w:p>
    <w:p w:rsidR="00D50A26" w:rsidRDefault="00F367A7">
      <w:pPr>
        <w:spacing w:line="360" w:lineRule="auto"/>
        <w:jc w:val="both"/>
        <w:rPr>
          <w:rFonts w:ascii="Arial" w:eastAsia="Arial" w:hAnsi="Arial" w:cs="Arial"/>
        </w:rPr>
      </w:pPr>
      <w:r>
        <w:rPr>
          <w:rFonts w:ascii="Arial" w:eastAsia="Arial" w:hAnsi="Arial" w:cs="Arial"/>
          <w:b/>
          <w:color w:val="000000"/>
        </w:rPr>
        <w:t>Quantum Theory of Atoms in Molecules (QTAIM).</w:t>
      </w:r>
      <w:r>
        <w:rPr>
          <w:rFonts w:ascii="Arial" w:eastAsia="Arial" w:hAnsi="Arial" w:cs="Arial"/>
        </w:rPr>
        <w:t xml:space="preserve"> Within the electron density (ρ) landscape in three-dimensional space, this quantum topological approach delineates four distinct critical points (CPs)</w:t>
      </w:r>
      <w:hyperlink r:id="rId8">
        <w:r>
          <w:rPr>
            <w:rFonts w:ascii="Arial" w:eastAsia="Arial" w:hAnsi="Arial" w:cs="Arial"/>
            <w:vertAlign w:val="superscript"/>
          </w:rPr>
          <w:t>1,2</w:t>
        </w:r>
      </w:hyperlink>
      <w:r>
        <w:rPr>
          <w:rFonts w:ascii="Arial Unicode MS" w:eastAsia="Arial Unicode MS" w:hAnsi="Arial Unicode MS" w:cs="Arial Unicode MS"/>
        </w:rPr>
        <w:t>. Among them, only the (3,-1) CP, also known as Bond Critical Point (BCP), which exists between two proximate atoms defining a bond, will be the focus of this discussion. The BCP represents a saddle point of ρ with maxima in the t</w:t>
      </w:r>
      <w:r>
        <w:rPr>
          <w:rFonts w:ascii="Arial Unicode MS" w:eastAsia="Arial Unicode MS" w:hAnsi="Arial Unicode MS" w:cs="Arial Unicode MS"/>
        </w:rPr>
        <w:t>wo spatial dimensions that form the interatomic boundary dividing the basins of the adjacent atoms, and a minimum in the orthogonal dimension. This results in the electron density at the BCP being maximal across the interatomic boundary and minimal along t</w:t>
      </w:r>
      <w:r>
        <w:rPr>
          <w:rFonts w:ascii="Arial Unicode MS" w:eastAsia="Arial Unicode MS" w:hAnsi="Arial Unicode MS" w:cs="Arial Unicode MS"/>
        </w:rPr>
        <w:t>he axis connecting the nuclei. Then, the presence of a BCP in the path connecting a pair of nuclei signifies electronic charge accumulation between them. In QTAIM, the Laplacian of ρ, ∇</w:t>
      </w:r>
      <w:r>
        <w:rPr>
          <w:rFonts w:ascii="Arial" w:eastAsia="Arial" w:hAnsi="Arial" w:cs="Arial"/>
          <w:vertAlign w:val="superscript"/>
        </w:rPr>
        <w:t>2</w:t>
      </w:r>
      <w:r>
        <w:rPr>
          <w:rFonts w:ascii="Arial Unicode MS" w:eastAsia="Arial Unicode MS" w:hAnsi="Arial Unicode MS" w:cs="Arial Unicode MS"/>
        </w:rPr>
        <w:t xml:space="preserve">ρ, is essential to identify regions in which ρ exceeds or falls short </w:t>
      </w:r>
      <w:r>
        <w:rPr>
          <w:rFonts w:ascii="Arial Unicode MS" w:eastAsia="Arial Unicode MS" w:hAnsi="Arial Unicode MS" w:cs="Arial Unicode MS"/>
        </w:rPr>
        <w:t>of its neighboring average. In zones where ∇</w:t>
      </w:r>
      <w:r>
        <w:rPr>
          <w:rFonts w:ascii="Arial" w:eastAsia="Arial" w:hAnsi="Arial" w:cs="Arial"/>
          <w:vertAlign w:val="superscript"/>
        </w:rPr>
        <w:t>2</w:t>
      </w:r>
      <w:r>
        <w:rPr>
          <w:rFonts w:ascii="Arial Unicode MS" w:eastAsia="Arial Unicode MS" w:hAnsi="Arial Unicode MS" w:cs="Arial Unicode MS"/>
        </w:rPr>
        <w:t>ρ is negative, ρ exceeds its proximate average, indicating local concentration. Conversely, in regions with positive ∇</w:t>
      </w:r>
      <w:r>
        <w:rPr>
          <w:rFonts w:ascii="Arial" w:eastAsia="Arial" w:hAnsi="Arial" w:cs="Arial"/>
          <w:vertAlign w:val="superscript"/>
        </w:rPr>
        <w:t>2</w:t>
      </w:r>
      <w:r>
        <w:rPr>
          <w:rFonts w:ascii="Arial Unicode MS" w:eastAsia="Arial Unicode MS" w:hAnsi="Arial Unicode MS" w:cs="Arial Unicode MS"/>
        </w:rPr>
        <w:t xml:space="preserve">ρ, the electron density is below its immediate average, implying local depletion. The QTAIM </w:t>
      </w:r>
      <w:r>
        <w:rPr>
          <w:rFonts w:ascii="Arial Unicode MS" w:eastAsia="Arial Unicode MS" w:hAnsi="Arial Unicode MS" w:cs="Arial Unicode MS"/>
        </w:rPr>
        <w:t>framework postulates that covalent bonds are characterized by appreciable ρ values coupled with significantly negative ∇</w:t>
      </w:r>
      <w:r>
        <w:rPr>
          <w:rFonts w:ascii="Arial" w:eastAsia="Arial" w:hAnsi="Arial" w:cs="Arial"/>
          <w:vertAlign w:val="superscript"/>
        </w:rPr>
        <w:t>2</w:t>
      </w:r>
      <w:r>
        <w:rPr>
          <w:rFonts w:ascii="Arial Unicode MS" w:eastAsia="Arial Unicode MS" w:hAnsi="Arial Unicode MS" w:cs="Arial Unicode MS"/>
        </w:rPr>
        <w:t>ρ. In stark contrast, ionic bonds, van der Waals interactions, and H-bonds typically possess lesser ρ values and a positive ∇</w:t>
      </w:r>
      <w:r>
        <w:rPr>
          <w:rFonts w:ascii="Arial" w:eastAsia="Arial" w:hAnsi="Arial" w:cs="Arial"/>
          <w:vertAlign w:val="superscript"/>
        </w:rPr>
        <w:t>2</w:t>
      </w:r>
      <w:r>
        <w:rPr>
          <w:rFonts w:ascii="Arial" w:eastAsia="Arial" w:hAnsi="Arial" w:cs="Arial"/>
        </w:rPr>
        <w:t>ρ. Concer</w:t>
      </w:r>
      <w:r>
        <w:rPr>
          <w:rFonts w:ascii="Arial" w:eastAsia="Arial" w:hAnsi="Arial" w:cs="Arial"/>
        </w:rPr>
        <w:t>ning protein secondary structures, H-bonds within an α-helix and those between antiparallel β-strands exhibit a slightly elevated ρ at the CO···HN BCP compared to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BCP, with values roughly around 10</w:t>
      </w:r>
      <w:r>
        <w:rPr>
          <w:rFonts w:ascii="Arial" w:eastAsia="Arial" w:hAnsi="Arial" w:cs="Arial"/>
          <w:vertAlign w:val="superscript"/>
        </w:rPr>
        <w:t>-2</w:t>
      </w:r>
      <w:r>
        <w:rPr>
          <w:rFonts w:ascii="Arial" w:eastAsia="Arial" w:hAnsi="Arial" w:cs="Arial"/>
        </w:rPr>
        <w:t xml:space="preserve"> and 10</w:t>
      </w:r>
      <w:r>
        <w:rPr>
          <w:rFonts w:ascii="Arial" w:eastAsia="Arial" w:hAnsi="Arial" w:cs="Arial"/>
          <w:vertAlign w:val="superscript"/>
        </w:rPr>
        <w:t>-3</w:t>
      </w:r>
      <w:r>
        <w:rPr>
          <w:rFonts w:ascii="Arial" w:eastAsia="Arial" w:hAnsi="Arial" w:cs="Arial"/>
        </w:rPr>
        <w:t xml:space="preserve"> au, respectively</w:t>
      </w:r>
      <w:hyperlink r:id="rId9">
        <w:r>
          <w:rPr>
            <w:rFonts w:ascii="Arial" w:eastAsia="Arial" w:hAnsi="Arial" w:cs="Arial"/>
            <w:vertAlign w:val="superscript"/>
          </w:rPr>
          <w:t>3,4</w:t>
        </w:r>
      </w:hyperlink>
      <w:r>
        <w:rPr>
          <w:rFonts w:ascii="Arial" w:eastAsia="Arial" w:hAnsi="Arial" w:cs="Arial"/>
        </w:rPr>
        <w:t>. For H-bonds between parallel β-strands, both the CO···HN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BCPs have comparable ρ values on the order of 10</w:t>
      </w:r>
      <w:r>
        <w:rPr>
          <w:rFonts w:ascii="Arial" w:eastAsia="Arial" w:hAnsi="Arial" w:cs="Arial"/>
          <w:vertAlign w:val="superscript"/>
        </w:rPr>
        <w:t>-3</w:t>
      </w:r>
      <w:r>
        <w:rPr>
          <w:rFonts w:ascii="Arial" w:eastAsia="Arial" w:hAnsi="Arial" w:cs="Arial"/>
        </w:rPr>
        <w:t xml:space="preserve"> au</w:t>
      </w:r>
      <w:hyperlink r:id="rId10">
        <w:r>
          <w:rPr>
            <w:rFonts w:ascii="Arial" w:eastAsia="Arial" w:hAnsi="Arial" w:cs="Arial"/>
            <w:vertAlign w:val="superscript"/>
          </w:rPr>
          <w:t>3,4</w:t>
        </w:r>
      </w:hyperlink>
      <w:r>
        <w:rPr>
          <w:rFonts w:ascii="Arial Unicode MS" w:eastAsia="Arial Unicode MS" w:hAnsi="Arial Unicode MS" w:cs="Arial Unicode MS"/>
        </w:rPr>
        <w:t>. All these point</w:t>
      </w:r>
      <w:r>
        <w:rPr>
          <w:rFonts w:ascii="Arial Unicode MS" w:eastAsia="Arial Unicode MS" w:hAnsi="Arial Unicode MS" w:cs="Arial Unicode MS"/>
        </w:rPr>
        <w:t>s have a positive ∇</w:t>
      </w:r>
      <w:r>
        <w:rPr>
          <w:rFonts w:ascii="Arial" w:eastAsia="Arial" w:hAnsi="Arial" w:cs="Arial"/>
          <w:vertAlign w:val="superscript"/>
        </w:rPr>
        <w:t>2</w:t>
      </w:r>
      <w:r>
        <w:rPr>
          <w:rFonts w:ascii="Arial" w:eastAsia="Arial" w:hAnsi="Arial" w:cs="Arial"/>
        </w:rPr>
        <w:t>ρ, aligning in magnitude with their respective ρ values. Our previous study shed light for the first time into the QTAIM analysis of the H-bonding between parallel PPII helices</w:t>
      </w:r>
      <w:r>
        <w:rPr>
          <w:rFonts w:ascii="Arial" w:eastAsia="Arial" w:hAnsi="Arial" w:cs="Arial"/>
          <w:vertAlign w:val="superscript"/>
        </w:rPr>
        <w:t>5</w:t>
      </w:r>
      <w:r>
        <w:rPr>
          <w:rFonts w:ascii="Arial" w:eastAsia="Arial" w:hAnsi="Arial" w:cs="Arial"/>
        </w:rPr>
        <w:t xml:space="preserve">. </w:t>
      </w:r>
      <w:r>
        <w:rPr>
          <w:rFonts w:ascii="Arial" w:eastAsia="Arial" w:hAnsi="Arial" w:cs="Arial"/>
        </w:rPr>
        <w:lastRenderedPageBreak/>
        <w:t>The ρ for the BCPs of CO···HN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H-bonds showing cooperativity displays values of the order of 10</w:t>
      </w:r>
      <w:r>
        <w:rPr>
          <w:rFonts w:ascii="Arial" w:eastAsia="Arial" w:hAnsi="Arial" w:cs="Arial"/>
          <w:vertAlign w:val="superscript"/>
        </w:rPr>
        <w:t>-2</w:t>
      </w:r>
      <w:r>
        <w:rPr>
          <w:rFonts w:ascii="Arial" w:eastAsia="Arial" w:hAnsi="Arial" w:cs="Arial"/>
        </w:rPr>
        <w:t xml:space="preserve"> au, while of the order of 10</w:t>
      </w:r>
      <w:r>
        <w:rPr>
          <w:rFonts w:ascii="Arial" w:eastAsia="Arial" w:hAnsi="Arial" w:cs="Arial"/>
          <w:vertAlign w:val="superscript"/>
        </w:rPr>
        <w:t>-3</w:t>
      </w:r>
      <w:r>
        <w:rPr>
          <w:rFonts w:ascii="Arial" w:eastAsia="Arial" w:hAnsi="Arial" w:cs="Arial"/>
        </w:rPr>
        <w:t xml:space="preserve"> au for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Unicode MS" w:eastAsia="Arial Unicode MS" w:hAnsi="Arial Unicode MS" w:cs="Arial Unicode MS"/>
        </w:rPr>
        <w:t xml:space="preserve"> H-bonds not showing cooperativity. Regarding ∇</w:t>
      </w:r>
      <w:r>
        <w:rPr>
          <w:rFonts w:ascii="Arial" w:eastAsia="Arial" w:hAnsi="Arial" w:cs="Arial"/>
          <w:vertAlign w:val="superscript"/>
        </w:rPr>
        <w:t>2</w:t>
      </w:r>
      <w:r>
        <w:rPr>
          <w:rFonts w:ascii="Arial" w:eastAsia="Arial" w:hAnsi="Arial" w:cs="Arial"/>
        </w:rPr>
        <w:t>ρ of these BCPs, it was of the order of 10</w:t>
      </w:r>
      <w:r>
        <w:rPr>
          <w:rFonts w:ascii="Arial" w:eastAsia="Arial" w:hAnsi="Arial" w:cs="Arial"/>
          <w:vertAlign w:val="superscript"/>
        </w:rPr>
        <w:t>-1</w:t>
      </w:r>
      <w:r>
        <w:rPr>
          <w:rFonts w:ascii="Arial" w:eastAsia="Arial" w:hAnsi="Arial" w:cs="Arial"/>
        </w:rPr>
        <w:t xml:space="preserve"> au for CO···HN H-bonds and of 10</w:t>
      </w:r>
      <w:r>
        <w:rPr>
          <w:rFonts w:ascii="Arial" w:eastAsia="Arial" w:hAnsi="Arial" w:cs="Arial"/>
          <w:vertAlign w:val="superscript"/>
        </w:rPr>
        <w:t>-2</w:t>
      </w:r>
      <w:r>
        <w:rPr>
          <w:rFonts w:ascii="Arial" w:eastAsia="Arial" w:hAnsi="Arial" w:cs="Arial"/>
        </w:rPr>
        <w:t xml:space="preserve"> au for CO···</w:t>
      </w:r>
      <w:r>
        <w:rPr>
          <w:rFonts w:ascii="Arial" w:eastAsia="Arial" w:hAnsi="Arial" w:cs="Arial"/>
        </w:rPr>
        <w:t>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regardless of their cooperative nature.</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 xml:space="preserve">BCPs are found between the oxygens and hydrogens that give rise to the different H-bonds proposed in </w:t>
      </w:r>
      <w:r>
        <w:rPr>
          <w:rFonts w:ascii="Arial" w:eastAsia="Arial" w:hAnsi="Arial" w:cs="Arial"/>
          <w:b/>
        </w:rPr>
        <w:t>Figure 4A</w:t>
      </w:r>
      <w:r>
        <w:rPr>
          <w:rFonts w:ascii="Arial" w:eastAsia="Arial" w:hAnsi="Arial" w:cs="Arial"/>
        </w:rPr>
        <w:t xml:space="preserve"> of the main text. </w:t>
      </w:r>
      <w:r>
        <w:rPr>
          <w:rFonts w:ascii="Arial" w:eastAsia="Arial" w:hAnsi="Arial" w:cs="Arial"/>
          <w:color w:val="000000"/>
        </w:rPr>
        <w:t>The ρ (</w:t>
      </w:r>
      <w:r>
        <w:rPr>
          <w:rFonts w:ascii="Arial" w:eastAsia="Arial" w:hAnsi="Arial" w:cs="Arial"/>
          <w:b/>
          <w:color w:val="000000"/>
        </w:rPr>
        <w:t>Table S</w:t>
      </w:r>
      <w:r>
        <w:rPr>
          <w:rFonts w:ascii="Arial" w:eastAsia="Arial" w:hAnsi="Arial" w:cs="Arial"/>
          <w:b/>
        </w:rPr>
        <w:t>1</w:t>
      </w:r>
      <w:r>
        <w:rPr>
          <w:rFonts w:ascii="Arial" w:eastAsia="Arial" w:hAnsi="Arial" w:cs="Arial"/>
          <w:color w:val="000000"/>
        </w:rPr>
        <w:t xml:space="preserve"> </w:t>
      </w:r>
      <w:r>
        <w:rPr>
          <w:rFonts w:ascii="Arial" w:eastAsia="Arial" w:hAnsi="Arial" w:cs="Arial"/>
        </w:rPr>
        <w:t>and</w:t>
      </w:r>
      <w:r>
        <w:rPr>
          <w:rFonts w:ascii="Arial" w:eastAsia="Arial" w:hAnsi="Arial" w:cs="Arial"/>
          <w:color w:val="000000"/>
        </w:rPr>
        <w:t xml:space="preserve"> </w:t>
      </w:r>
      <w:r>
        <w:rPr>
          <w:rFonts w:ascii="Arial" w:eastAsia="Arial" w:hAnsi="Arial" w:cs="Arial"/>
          <w:b/>
          <w:color w:val="000000"/>
        </w:rPr>
        <w:t>Figure S</w:t>
      </w:r>
      <w:r>
        <w:rPr>
          <w:rFonts w:ascii="Arial" w:eastAsia="Arial" w:hAnsi="Arial" w:cs="Arial"/>
          <w:b/>
        </w:rPr>
        <w:t>1</w:t>
      </w:r>
      <w:r>
        <w:rPr>
          <w:rFonts w:ascii="Arial" w:eastAsia="Arial" w:hAnsi="Arial" w:cs="Arial"/>
          <w:b/>
          <w:color w:val="000000"/>
        </w:rPr>
        <w:t>A</w:t>
      </w:r>
      <w:r>
        <w:rPr>
          <w:rFonts w:ascii="Arial Unicode MS" w:eastAsia="Arial Unicode MS" w:hAnsi="Arial Unicode MS" w:cs="Arial Unicode MS"/>
          <w:color w:val="000000"/>
        </w:rPr>
        <w:t>) and ∇</w:t>
      </w:r>
      <w:r>
        <w:rPr>
          <w:rFonts w:ascii="Arial" w:eastAsia="Arial" w:hAnsi="Arial" w:cs="Arial"/>
          <w:color w:val="000000"/>
          <w:vertAlign w:val="superscript"/>
        </w:rPr>
        <w:t>2</w:t>
      </w:r>
      <w:r>
        <w:rPr>
          <w:rFonts w:ascii="Arial" w:eastAsia="Arial" w:hAnsi="Arial" w:cs="Arial"/>
          <w:color w:val="000000"/>
        </w:rPr>
        <w:t>ρ (</w:t>
      </w:r>
      <w:r>
        <w:rPr>
          <w:rFonts w:ascii="Arial" w:eastAsia="Arial" w:hAnsi="Arial" w:cs="Arial"/>
          <w:b/>
          <w:color w:val="000000"/>
        </w:rPr>
        <w:t>Table S</w:t>
      </w:r>
      <w:r>
        <w:rPr>
          <w:rFonts w:ascii="Arial" w:eastAsia="Arial" w:hAnsi="Arial" w:cs="Arial"/>
          <w:b/>
        </w:rPr>
        <w:t>2</w:t>
      </w:r>
      <w:r>
        <w:rPr>
          <w:rFonts w:ascii="Arial" w:eastAsia="Arial" w:hAnsi="Arial" w:cs="Arial"/>
          <w:b/>
          <w:color w:val="000000"/>
        </w:rPr>
        <w:t xml:space="preserve"> </w:t>
      </w:r>
      <w:r>
        <w:rPr>
          <w:rFonts w:ascii="Arial" w:eastAsia="Arial" w:hAnsi="Arial" w:cs="Arial"/>
        </w:rPr>
        <w:t>and</w:t>
      </w:r>
      <w:r>
        <w:rPr>
          <w:rFonts w:ascii="Arial" w:eastAsia="Arial" w:hAnsi="Arial" w:cs="Arial"/>
          <w:color w:val="000000"/>
        </w:rPr>
        <w:t xml:space="preserve"> </w:t>
      </w:r>
      <w:r>
        <w:rPr>
          <w:rFonts w:ascii="Arial" w:eastAsia="Arial" w:hAnsi="Arial" w:cs="Arial"/>
          <w:b/>
          <w:color w:val="000000"/>
        </w:rPr>
        <w:t>Figure S</w:t>
      </w:r>
      <w:r>
        <w:rPr>
          <w:rFonts w:ascii="Arial" w:eastAsia="Arial" w:hAnsi="Arial" w:cs="Arial"/>
          <w:b/>
        </w:rPr>
        <w:t>1</w:t>
      </w:r>
      <w:r>
        <w:rPr>
          <w:rFonts w:ascii="Arial" w:eastAsia="Arial" w:hAnsi="Arial" w:cs="Arial"/>
          <w:b/>
          <w:color w:val="000000"/>
        </w:rPr>
        <w:t>B</w:t>
      </w:r>
      <w:r>
        <w:rPr>
          <w:rFonts w:ascii="Arial" w:eastAsia="Arial" w:hAnsi="Arial" w:cs="Arial"/>
          <w:color w:val="000000"/>
        </w:rPr>
        <w:t>) values at these</w:t>
      </w:r>
      <w:r>
        <w:rPr>
          <w:rFonts w:ascii="Arial" w:eastAsia="Arial" w:hAnsi="Arial" w:cs="Arial"/>
          <w:color w:val="000000"/>
        </w:rPr>
        <w:t xml:space="preserve"> points correspond to those expected for H-bonds, small and positive, respectively. </w:t>
      </w:r>
      <w:r>
        <w:rPr>
          <w:rFonts w:ascii="Arial" w:eastAsia="Arial" w:hAnsi="Arial" w:cs="Arial"/>
        </w:rPr>
        <w:t>For CO···HN H-bonds between antiparallel PPII helices, the magnitude of ρ(BCP)</w:t>
      </w:r>
      <w:r>
        <w:rPr>
          <w:rFonts w:ascii="Arial" w:eastAsia="Arial" w:hAnsi="Arial" w:cs="Arial"/>
          <w:vertAlign w:val="subscript"/>
        </w:rPr>
        <w:t>CO···HN</w:t>
      </w:r>
      <w:r>
        <w:rPr>
          <w:rFonts w:ascii="Arial" w:eastAsia="Arial" w:hAnsi="Arial" w:cs="Arial"/>
        </w:rPr>
        <w:t xml:space="preserve"> (10</w:t>
      </w:r>
      <w:r>
        <w:rPr>
          <w:rFonts w:ascii="Arial" w:eastAsia="Arial" w:hAnsi="Arial" w:cs="Arial"/>
          <w:vertAlign w:val="superscript"/>
        </w:rPr>
        <w:t>-2</w:t>
      </w:r>
      <w:r>
        <w:rPr>
          <w:rFonts w:ascii="Arial Unicode MS" w:eastAsia="Arial Unicode MS" w:hAnsi="Arial Unicode MS" w:cs="Arial Unicode MS"/>
        </w:rPr>
        <w:t>) is on the same order of magnitude as in parallel PPII helices, α-helices and an</w:t>
      </w:r>
      <w:r>
        <w:rPr>
          <w:rFonts w:ascii="Arial Unicode MS" w:eastAsia="Arial Unicode MS" w:hAnsi="Arial Unicode MS" w:cs="Arial Unicode MS"/>
        </w:rPr>
        <w:t>tiparallel β-sheets, but one order higher than in parallel β-sheets, while the magnitude of ∇</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CO···HN</w:t>
      </w:r>
      <w:r>
        <w:rPr>
          <w:rFonts w:ascii="Arial" w:eastAsia="Arial" w:hAnsi="Arial" w:cs="Arial"/>
        </w:rPr>
        <w:t xml:space="preserve"> (10</w:t>
      </w:r>
      <w:r>
        <w:rPr>
          <w:rFonts w:ascii="Arial" w:eastAsia="Arial" w:hAnsi="Arial" w:cs="Arial"/>
          <w:vertAlign w:val="superscript"/>
        </w:rPr>
        <w:t>-1</w:t>
      </w:r>
      <w:r>
        <w:rPr>
          <w:rFonts w:ascii="Arial" w:eastAsia="Arial" w:hAnsi="Arial" w:cs="Arial"/>
        </w:rPr>
        <w:t>) is of the same order as in parallel PPII helices, one order higher than in α-helices and antiparallel β-sheets, and two orders higher compared to parallel β-sheets (</w:t>
      </w:r>
      <w:r>
        <w:rPr>
          <w:rFonts w:ascii="Arial" w:eastAsia="Arial" w:hAnsi="Arial" w:cs="Arial"/>
          <w:b/>
        </w:rPr>
        <w:t>Table S1</w:t>
      </w:r>
      <w:r>
        <w:rPr>
          <w:rFonts w:ascii="Arial" w:eastAsia="Arial" w:hAnsi="Arial" w:cs="Arial"/>
        </w:rPr>
        <w:t xml:space="preserve">, </w:t>
      </w:r>
      <w:r>
        <w:rPr>
          <w:rFonts w:ascii="Arial" w:eastAsia="Arial" w:hAnsi="Arial" w:cs="Arial"/>
          <w:b/>
        </w:rPr>
        <w:t xml:space="preserve">Table S2 </w:t>
      </w:r>
      <w:r>
        <w:rPr>
          <w:rFonts w:ascii="Arial" w:eastAsia="Arial" w:hAnsi="Arial" w:cs="Arial"/>
        </w:rPr>
        <w:t xml:space="preserve">and </w:t>
      </w:r>
      <w:r>
        <w:rPr>
          <w:rFonts w:ascii="Arial" w:eastAsia="Arial" w:hAnsi="Arial" w:cs="Arial"/>
          <w:b/>
        </w:rPr>
        <w:t>Figure S1</w:t>
      </w:r>
      <w:r>
        <w:rPr>
          <w:rFonts w:ascii="Arial" w:eastAsia="Arial" w:hAnsi="Arial" w:cs="Arial"/>
        </w:rPr>
        <w:t>). Regarding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b/>
        </w:rPr>
        <w:t xml:space="preserve"> </w:t>
      </w:r>
      <w:r>
        <w:rPr>
          <w:rFonts w:ascii="Arial" w:eastAsia="Arial" w:hAnsi="Arial" w:cs="Arial"/>
        </w:rPr>
        <w:t>proximal H-bonds between antiparal</w:t>
      </w:r>
      <w:r>
        <w:rPr>
          <w:rFonts w:ascii="Arial" w:eastAsia="Arial" w:hAnsi="Arial" w:cs="Arial"/>
        </w:rPr>
        <w:t>lel PPII helices, the magnitude of ρ(BCP)</w:t>
      </w:r>
      <w:r>
        <w:rPr>
          <w:rFonts w:ascii="Arial" w:eastAsia="Arial" w:hAnsi="Arial" w:cs="Arial"/>
          <w:vertAlign w:val="subscript"/>
        </w:rPr>
        <w:t>CO···HαCα</w:t>
      </w:r>
      <w:r>
        <w:rPr>
          <w:rFonts w:ascii="Arial" w:eastAsia="Arial" w:hAnsi="Arial" w:cs="Arial"/>
          <w:b/>
        </w:rPr>
        <w:t xml:space="preserve"> </w:t>
      </w:r>
      <w:r>
        <w:rPr>
          <w:rFonts w:ascii="Arial Unicode MS" w:eastAsia="Arial Unicode MS" w:hAnsi="Arial Unicode MS" w:cs="Arial Unicode MS"/>
        </w:rPr>
        <w:t>and ∇</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CO···HαCα</w:t>
      </w:r>
      <w:r>
        <w:rPr>
          <w:rFonts w:ascii="Arial" w:eastAsia="Arial" w:hAnsi="Arial" w:cs="Arial"/>
          <w:b/>
        </w:rPr>
        <w:t xml:space="preserve"> </w:t>
      </w:r>
      <w:r>
        <w:rPr>
          <w:rFonts w:ascii="Arial" w:eastAsia="Arial" w:hAnsi="Arial" w:cs="Arial"/>
        </w:rPr>
        <w:t>(10</w:t>
      </w:r>
      <w:r>
        <w:rPr>
          <w:rFonts w:ascii="Arial" w:eastAsia="Arial" w:hAnsi="Arial" w:cs="Arial"/>
          <w:vertAlign w:val="superscript"/>
        </w:rPr>
        <w:t>-2</w:t>
      </w:r>
      <w:r>
        <w:rPr>
          <w:rFonts w:ascii="Arial" w:eastAsia="Arial" w:hAnsi="Arial" w:cs="Arial"/>
        </w:rPr>
        <w:t>) is of the same order as in cooperative non-canonical H-bonds between parallel PPII helices, that is, one order higher than in α-helices and both parallel and antiparallel β-she</w:t>
      </w:r>
      <w:r>
        <w:rPr>
          <w:rFonts w:ascii="Arial" w:eastAsia="Arial" w:hAnsi="Arial" w:cs="Arial"/>
        </w:rPr>
        <w:t>ets (</w:t>
      </w:r>
      <w:r>
        <w:rPr>
          <w:rFonts w:ascii="Arial" w:eastAsia="Arial" w:hAnsi="Arial" w:cs="Arial"/>
          <w:b/>
        </w:rPr>
        <w:t>Table S1</w:t>
      </w:r>
      <w:r>
        <w:rPr>
          <w:rFonts w:ascii="Arial" w:eastAsia="Arial" w:hAnsi="Arial" w:cs="Arial"/>
        </w:rPr>
        <w:t xml:space="preserve">, </w:t>
      </w:r>
      <w:r>
        <w:rPr>
          <w:rFonts w:ascii="Arial" w:eastAsia="Arial" w:hAnsi="Arial" w:cs="Arial"/>
          <w:b/>
        </w:rPr>
        <w:t xml:space="preserve">Table S2 </w:t>
      </w:r>
      <w:r>
        <w:rPr>
          <w:rFonts w:ascii="Arial" w:eastAsia="Arial" w:hAnsi="Arial" w:cs="Arial"/>
        </w:rPr>
        <w:t xml:space="preserve">and </w:t>
      </w:r>
      <w:r>
        <w:rPr>
          <w:rFonts w:ascii="Arial" w:eastAsia="Arial" w:hAnsi="Arial" w:cs="Arial"/>
          <w:b/>
        </w:rPr>
        <w:t>Figure S1</w:t>
      </w:r>
      <w:r>
        <w:rPr>
          <w:rFonts w:ascii="Arial" w:eastAsia="Arial" w:hAnsi="Arial" w:cs="Arial"/>
        </w:rPr>
        <w:t>). Finally, for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between antiparallel PPII helices, the magnitude of ρ(BCP)</w:t>
      </w:r>
      <w:r>
        <w:rPr>
          <w:rFonts w:ascii="Arial" w:eastAsia="Arial" w:hAnsi="Arial" w:cs="Arial"/>
          <w:vertAlign w:val="subscript"/>
        </w:rPr>
        <w:t>CO···HαCα</w:t>
      </w:r>
      <w:r>
        <w:rPr>
          <w:rFonts w:ascii="Arial" w:eastAsia="Arial" w:hAnsi="Arial" w:cs="Arial"/>
          <w:b/>
        </w:rPr>
        <w:t xml:space="preserve"> </w:t>
      </w:r>
      <w:r>
        <w:rPr>
          <w:rFonts w:ascii="Arial" w:eastAsia="Arial" w:hAnsi="Arial" w:cs="Arial"/>
        </w:rPr>
        <w:t>(10</w:t>
      </w:r>
      <w:r>
        <w:rPr>
          <w:rFonts w:ascii="Arial" w:eastAsia="Arial" w:hAnsi="Arial" w:cs="Arial"/>
          <w:vertAlign w:val="superscript"/>
        </w:rPr>
        <w:t>-3</w:t>
      </w:r>
      <w:r>
        <w:rPr>
          <w:rFonts w:ascii="Arial Unicode MS" w:eastAsia="Arial Unicode MS" w:hAnsi="Arial Unicode MS" w:cs="Arial Unicode MS"/>
        </w:rPr>
        <w:t>) is on the same order as in α-helices and both parallel and antiparallel β-sheets, while the magnitude o</w:t>
      </w:r>
      <w:r>
        <w:rPr>
          <w:rFonts w:ascii="Arial Unicode MS" w:eastAsia="Arial Unicode MS" w:hAnsi="Arial Unicode MS" w:cs="Arial Unicode MS"/>
        </w:rPr>
        <w:t>f ∇</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CO···HαCα</w:t>
      </w:r>
      <w:r>
        <w:rPr>
          <w:rFonts w:ascii="Arial" w:eastAsia="Arial" w:hAnsi="Arial" w:cs="Arial"/>
          <w:b/>
        </w:rPr>
        <w:t xml:space="preserve"> </w:t>
      </w:r>
      <w:r>
        <w:rPr>
          <w:rFonts w:ascii="Arial" w:eastAsia="Arial" w:hAnsi="Arial" w:cs="Arial"/>
        </w:rPr>
        <w:t>(10</w:t>
      </w:r>
      <w:r>
        <w:rPr>
          <w:rFonts w:ascii="Arial" w:eastAsia="Arial" w:hAnsi="Arial" w:cs="Arial"/>
          <w:vertAlign w:val="superscript"/>
        </w:rPr>
        <w:t>-2</w:t>
      </w:r>
      <w:r>
        <w:rPr>
          <w:rFonts w:ascii="Arial" w:eastAsia="Arial" w:hAnsi="Arial" w:cs="Arial"/>
        </w:rPr>
        <w:t>) is one order higher relative to all of them. Then, these ρ(BCP)</w:t>
      </w:r>
      <w:r>
        <w:rPr>
          <w:rFonts w:ascii="Arial" w:eastAsia="Arial" w:hAnsi="Arial" w:cs="Arial"/>
          <w:vertAlign w:val="subscript"/>
        </w:rPr>
        <w:t>CO···HαCα</w:t>
      </w:r>
      <w:r>
        <w:rPr>
          <w:rFonts w:ascii="Arial" w:eastAsia="Arial" w:hAnsi="Arial" w:cs="Arial"/>
        </w:rPr>
        <w:t xml:space="preserve"> and </w:t>
      </w:r>
      <w:r>
        <w:rPr>
          <w:rFonts w:ascii="Arial Unicode MS" w:eastAsia="Arial Unicode MS" w:hAnsi="Arial Unicode MS" w:cs="Arial Unicode MS"/>
        </w:rPr>
        <w:t>∇</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CO···HαCα</w:t>
      </w:r>
      <w:r>
        <w:rPr>
          <w:rFonts w:ascii="Arial" w:eastAsia="Arial" w:hAnsi="Arial" w:cs="Arial"/>
          <w:b/>
        </w:rPr>
        <w:t xml:space="preserve"> </w:t>
      </w:r>
      <w:r>
        <w:rPr>
          <w:rFonts w:ascii="Arial" w:eastAsia="Arial" w:hAnsi="Arial" w:cs="Arial"/>
        </w:rPr>
        <w:t>magnitudes match with the ones for non-cooperative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H-bonds between parallel PPII helices (</w:t>
      </w:r>
      <w:r>
        <w:rPr>
          <w:rFonts w:ascii="Arial" w:eastAsia="Arial" w:hAnsi="Arial" w:cs="Arial"/>
          <w:b/>
        </w:rPr>
        <w:t>Table S1</w:t>
      </w:r>
      <w:r>
        <w:rPr>
          <w:rFonts w:ascii="Arial" w:eastAsia="Arial" w:hAnsi="Arial" w:cs="Arial"/>
        </w:rPr>
        <w:t xml:space="preserve">, </w:t>
      </w:r>
      <w:r>
        <w:rPr>
          <w:rFonts w:ascii="Arial" w:eastAsia="Arial" w:hAnsi="Arial" w:cs="Arial"/>
          <w:b/>
        </w:rPr>
        <w:t xml:space="preserve">Table S2 </w:t>
      </w:r>
      <w:r>
        <w:rPr>
          <w:rFonts w:ascii="Arial" w:eastAsia="Arial" w:hAnsi="Arial" w:cs="Arial"/>
        </w:rPr>
        <w:t xml:space="preserve">and </w:t>
      </w:r>
      <w:r>
        <w:rPr>
          <w:rFonts w:ascii="Arial" w:eastAsia="Arial" w:hAnsi="Arial" w:cs="Arial"/>
          <w:b/>
        </w:rPr>
        <w:t>Figure S1</w:t>
      </w:r>
      <w:r>
        <w:rPr>
          <w:rFonts w:ascii="Arial" w:eastAsia="Arial" w:hAnsi="Arial" w:cs="Arial"/>
        </w:rPr>
        <w:t>).</w:t>
      </w:r>
      <w:r>
        <w:rPr>
          <w:rFonts w:ascii="Arial" w:eastAsia="Arial" w:hAnsi="Arial" w:cs="Arial"/>
        </w:rPr>
        <w:t xml:space="preserve"> </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Going deeper into the QTAIM analysis, for CO···HN H-bonds, we observe that as antiparallel PPII helices are added to the bundle, the value of ρ(BCP)</w:t>
      </w:r>
      <w:r>
        <w:rPr>
          <w:rFonts w:ascii="Arial" w:eastAsia="Arial" w:hAnsi="Arial" w:cs="Arial"/>
          <w:vertAlign w:val="subscript"/>
        </w:rPr>
        <w:t>CO···HN</w:t>
      </w:r>
      <w:r>
        <w:rPr>
          <w:rFonts w:ascii="Arial" w:eastAsia="Arial" w:hAnsi="Arial" w:cs="Arial"/>
        </w:rPr>
        <w:t xml:space="preserve"> decreases (</w:t>
      </w:r>
      <w:r>
        <w:rPr>
          <w:rFonts w:ascii="Arial" w:eastAsia="Arial" w:hAnsi="Arial" w:cs="Arial"/>
          <w:b/>
        </w:rPr>
        <w:t>Table S1</w:t>
      </w:r>
      <w:r>
        <w:rPr>
          <w:rFonts w:ascii="Arial" w:eastAsia="Arial" w:hAnsi="Arial" w:cs="Arial"/>
        </w:rPr>
        <w:t xml:space="preserve"> and </w:t>
      </w:r>
      <w:r>
        <w:rPr>
          <w:rFonts w:ascii="Arial" w:eastAsia="Arial" w:hAnsi="Arial" w:cs="Arial"/>
          <w:b/>
        </w:rPr>
        <w:lastRenderedPageBreak/>
        <w:t>Figure S1A</w:t>
      </w:r>
      <w:r>
        <w:rPr>
          <w:rFonts w:ascii="Arial" w:eastAsia="Arial" w:hAnsi="Arial" w:cs="Arial"/>
        </w:rPr>
        <w:t>). This may seem contradictory at first, given that one might expect an increase in ρ(BCP)</w:t>
      </w:r>
      <w:r>
        <w:rPr>
          <w:rFonts w:ascii="Arial" w:eastAsia="Arial" w:hAnsi="Arial" w:cs="Arial"/>
          <w:vertAlign w:val="subscript"/>
        </w:rPr>
        <w:t>CO···HN</w:t>
      </w:r>
      <w:r>
        <w:rPr>
          <w:rFonts w:ascii="Arial" w:eastAsia="Arial" w:hAnsi="Arial" w:cs="Arial"/>
        </w:rPr>
        <w:t xml:space="preserve"> to correlate with the observed strengthening of these bonds through the increase of q(σ*</w:t>
      </w:r>
      <w:r>
        <w:rPr>
          <w:rFonts w:ascii="Arial" w:eastAsia="Arial" w:hAnsi="Arial" w:cs="Arial"/>
          <w:vertAlign w:val="subscript"/>
        </w:rPr>
        <w:t>NH</w:t>
      </w:r>
      <w:r>
        <w:rPr>
          <w:rFonts w:ascii="Arial" w:eastAsia="Arial" w:hAnsi="Arial" w:cs="Arial"/>
        </w:rPr>
        <w:t>) (</w:t>
      </w:r>
      <w:r>
        <w:rPr>
          <w:rFonts w:ascii="Arial" w:eastAsia="Arial" w:hAnsi="Arial" w:cs="Arial"/>
          <w:b/>
        </w:rPr>
        <w:t>Table 2</w:t>
      </w:r>
      <w:r>
        <w:rPr>
          <w:rFonts w:ascii="Arial" w:eastAsia="Arial" w:hAnsi="Arial" w:cs="Arial"/>
        </w:rPr>
        <w:t xml:space="preserve"> and </w:t>
      </w:r>
      <w:r>
        <w:rPr>
          <w:rFonts w:ascii="Arial" w:eastAsia="Arial" w:hAnsi="Arial" w:cs="Arial"/>
          <w:b/>
        </w:rPr>
        <w:t>Figure 5A</w:t>
      </w:r>
      <w:r>
        <w:rPr>
          <w:rFonts w:ascii="Arial" w:eastAsia="Arial" w:hAnsi="Arial" w:cs="Arial"/>
        </w:rPr>
        <w:t>), E(2)</w:t>
      </w:r>
      <w:r>
        <w:rPr>
          <w:rFonts w:ascii="Arial Unicode MS" w:eastAsia="Arial Unicode MS" w:hAnsi="Arial Unicode MS" w:cs="Arial Unicode MS"/>
          <w:vertAlign w:val="subscript"/>
        </w:rPr>
        <w:t>n(O)/σ(CO)/π(CO)→σ*(NH)</w:t>
      </w:r>
      <w:r>
        <w:rPr>
          <w:rFonts w:ascii="Arial" w:eastAsia="Arial" w:hAnsi="Arial" w:cs="Arial"/>
        </w:rPr>
        <w:t xml:space="preserve"> (</w:t>
      </w:r>
      <w:r>
        <w:rPr>
          <w:rFonts w:ascii="Arial" w:eastAsia="Arial" w:hAnsi="Arial" w:cs="Arial"/>
          <w:b/>
        </w:rPr>
        <w:t>Table 3</w:t>
      </w:r>
      <w:r>
        <w:rPr>
          <w:rFonts w:ascii="Arial" w:eastAsia="Arial" w:hAnsi="Arial" w:cs="Arial"/>
        </w:rPr>
        <w:t xml:space="preserve"> and </w:t>
      </w:r>
      <w:r>
        <w:rPr>
          <w:rFonts w:ascii="Arial" w:eastAsia="Arial" w:hAnsi="Arial" w:cs="Arial"/>
          <w:b/>
        </w:rPr>
        <w:t>Figure 5B</w:t>
      </w:r>
      <w:r>
        <w:rPr>
          <w:rFonts w:ascii="Arial" w:eastAsia="Arial" w:hAnsi="Arial" w:cs="Arial"/>
        </w:rPr>
        <w:t>) and |HBS(CO···HN)| (</w:t>
      </w:r>
      <w:r>
        <w:rPr>
          <w:rFonts w:ascii="Arial" w:eastAsia="Arial" w:hAnsi="Arial" w:cs="Arial"/>
          <w:b/>
        </w:rPr>
        <w:t>Table 4</w:t>
      </w:r>
      <w:r>
        <w:rPr>
          <w:rFonts w:ascii="Arial" w:eastAsia="Arial" w:hAnsi="Arial" w:cs="Arial"/>
        </w:rPr>
        <w:t xml:space="preserve"> and </w:t>
      </w:r>
      <w:r>
        <w:rPr>
          <w:rFonts w:ascii="Arial" w:eastAsia="Arial" w:hAnsi="Arial" w:cs="Arial"/>
          <w:b/>
        </w:rPr>
        <w:t>Figure 6</w:t>
      </w:r>
      <w:r>
        <w:rPr>
          <w:rFonts w:ascii="Arial" w:eastAsia="Arial" w:hAnsi="Arial" w:cs="Arial"/>
        </w:rPr>
        <w:t>) in the main text. However, as explained in our previous study</w:t>
      </w:r>
      <w:r>
        <w:rPr>
          <w:rFonts w:ascii="Arial" w:eastAsia="Arial" w:hAnsi="Arial" w:cs="Arial"/>
          <w:vertAlign w:val="superscript"/>
        </w:rPr>
        <w:t>5</w:t>
      </w:r>
      <w:r>
        <w:rPr>
          <w:rFonts w:ascii="Arial" w:eastAsia="Arial" w:hAnsi="Arial" w:cs="Arial"/>
        </w:rPr>
        <w:t>, considering that BCPs move further from oxygen atoms (</w:t>
      </w:r>
      <w:r>
        <w:rPr>
          <w:rFonts w:ascii="Arial" w:eastAsia="Arial" w:hAnsi="Arial" w:cs="Arial"/>
          <w:b/>
        </w:rPr>
        <w:t>Table S3</w:t>
      </w:r>
      <w:r>
        <w:rPr>
          <w:rFonts w:ascii="Arial" w:eastAsia="Arial" w:hAnsi="Arial" w:cs="Arial"/>
        </w:rPr>
        <w:t xml:space="preserve"> and </w:t>
      </w:r>
      <w:r>
        <w:rPr>
          <w:rFonts w:ascii="Arial" w:eastAsia="Arial" w:hAnsi="Arial" w:cs="Arial"/>
          <w:b/>
        </w:rPr>
        <w:t>Figure S2A</w:t>
      </w:r>
      <w:r>
        <w:rPr>
          <w:rFonts w:ascii="Arial" w:eastAsia="Arial" w:hAnsi="Arial" w:cs="Arial"/>
        </w:rPr>
        <w:t>) and closer to hydrogen atoms (</w:t>
      </w:r>
      <w:r>
        <w:rPr>
          <w:rFonts w:ascii="Arial" w:eastAsia="Arial" w:hAnsi="Arial" w:cs="Arial"/>
          <w:b/>
        </w:rPr>
        <w:t>Table S4</w:t>
      </w:r>
      <w:r>
        <w:rPr>
          <w:rFonts w:ascii="Arial" w:eastAsia="Arial" w:hAnsi="Arial" w:cs="Arial"/>
        </w:rPr>
        <w:t xml:space="preserve"> and </w:t>
      </w:r>
      <w:r>
        <w:rPr>
          <w:rFonts w:ascii="Arial" w:eastAsia="Arial" w:hAnsi="Arial" w:cs="Arial"/>
          <w:b/>
        </w:rPr>
        <w:t>Figure S2B</w:t>
      </w:r>
      <w:r>
        <w:rPr>
          <w:rFonts w:ascii="Arial" w:eastAsia="Arial" w:hAnsi="Arial" w:cs="Arial"/>
        </w:rPr>
        <w:t>) as th</w:t>
      </w:r>
      <w:r>
        <w:rPr>
          <w:rFonts w:ascii="Arial" w:eastAsia="Arial" w:hAnsi="Arial" w:cs="Arial"/>
        </w:rPr>
        <w:t>e bundle grows, these values align with a scenario where the electronic charge is increasingly displaced towards H</w:t>
      </w:r>
      <w:r>
        <w:rPr>
          <w:rFonts w:ascii="Arial" w:eastAsia="Arial" w:hAnsi="Arial" w:cs="Arial"/>
          <w:vertAlign w:val="subscript"/>
        </w:rPr>
        <w:t>N</w:t>
      </w:r>
      <w:r>
        <w:rPr>
          <w:rFonts w:ascii="Arial" w:eastAsia="Arial" w:hAnsi="Arial" w:cs="Arial"/>
        </w:rPr>
        <w:t xml:space="preserve"> and the subsequent CONH units, thereby strengthening the H-bond of the next interfaces (</w:t>
      </w:r>
      <w:r>
        <w:rPr>
          <w:rFonts w:ascii="Arial" w:eastAsia="Arial" w:hAnsi="Arial" w:cs="Arial"/>
          <w:b/>
        </w:rPr>
        <w:t>Table S1</w:t>
      </w:r>
      <w:r>
        <w:rPr>
          <w:rFonts w:ascii="Arial" w:eastAsia="Arial" w:hAnsi="Arial" w:cs="Arial"/>
        </w:rPr>
        <w:t xml:space="preserve"> and </w:t>
      </w:r>
      <w:r>
        <w:rPr>
          <w:rFonts w:ascii="Arial" w:eastAsia="Arial" w:hAnsi="Arial" w:cs="Arial"/>
          <w:b/>
        </w:rPr>
        <w:t>Figure S1A</w:t>
      </w:r>
      <w:r>
        <w:rPr>
          <w:rFonts w:ascii="Arial Unicode MS" w:eastAsia="Arial Unicode MS" w:hAnsi="Arial Unicode MS" w:cs="Arial Unicode MS"/>
        </w:rPr>
        <w:t>). The ∇</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CO-···HN</w:t>
      </w:r>
      <w:r>
        <w:rPr>
          <w:rFonts w:ascii="Arial" w:eastAsia="Arial" w:hAnsi="Arial" w:cs="Arial"/>
        </w:rPr>
        <w:t xml:space="preserve"> follo</w:t>
      </w:r>
      <w:r>
        <w:rPr>
          <w:rFonts w:ascii="Arial" w:eastAsia="Arial" w:hAnsi="Arial" w:cs="Arial"/>
        </w:rPr>
        <w:t>ws a similar trend (</w:t>
      </w:r>
      <w:r>
        <w:rPr>
          <w:rFonts w:ascii="Arial" w:eastAsia="Arial" w:hAnsi="Arial" w:cs="Arial"/>
          <w:b/>
        </w:rPr>
        <w:t>Table S2</w:t>
      </w:r>
      <w:r>
        <w:rPr>
          <w:rFonts w:ascii="Arial" w:eastAsia="Arial" w:hAnsi="Arial" w:cs="Arial"/>
        </w:rPr>
        <w:t xml:space="preserve"> and </w:t>
      </w:r>
      <w:r>
        <w:rPr>
          <w:rFonts w:ascii="Arial" w:eastAsia="Arial" w:hAnsi="Arial" w:cs="Arial"/>
          <w:b/>
        </w:rPr>
        <w:t>Figure S1B</w:t>
      </w:r>
      <w:r>
        <w:rPr>
          <w:rFonts w:ascii="Arial Unicode MS" w:eastAsia="Arial Unicode MS" w:hAnsi="Arial Unicode MS" w:cs="Arial Unicode MS"/>
        </w:rPr>
        <w:t>), which is interpreted as that, although the ρ continues to be locally more depleted at that point because the ∇</w:t>
      </w:r>
      <w:r>
        <w:rPr>
          <w:rFonts w:ascii="Arial" w:eastAsia="Arial" w:hAnsi="Arial" w:cs="Arial"/>
          <w:vertAlign w:val="superscript"/>
        </w:rPr>
        <w:t>2</w:t>
      </w:r>
      <w:r>
        <w:rPr>
          <w:rFonts w:ascii="Arial" w:eastAsia="Arial" w:hAnsi="Arial" w:cs="Arial"/>
        </w:rPr>
        <w:t>ρ is positive, it does so to a lesser extent, becoming more concentrated and suggesting the strengt</w:t>
      </w:r>
      <w:r>
        <w:rPr>
          <w:rFonts w:ascii="Arial" w:eastAsia="Arial" w:hAnsi="Arial" w:cs="Arial"/>
        </w:rPr>
        <w:t>hening of the canonical H-bonds. When it comes to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H-bonds, adding PPII helices to the antiparallel assembly results in an increase in ρ(BCP)</w:t>
      </w:r>
      <w:r>
        <w:rPr>
          <w:rFonts w:ascii="Arial" w:eastAsia="Arial" w:hAnsi="Arial" w:cs="Arial"/>
          <w:vertAlign w:val="subscript"/>
        </w:rPr>
        <w:t>CO···HαCα</w:t>
      </w:r>
      <w:r>
        <w:rPr>
          <w:rFonts w:ascii="Arial" w:eastAsia="Arial" w:hAnsi="Arial" w:cs="Arial"/>
        </w:rPr>
        <w:t xml:space="preserve"> (</w:t>
      </w:r>
      <w:r>
        <w:rPr>
          <w:rFonts w:ascii="Arial" w:eastAsia="Arial" w:hAnsi="Arial" w:cs="Arial"/>
          <w:b/>
        </w:rPr>
        <w:t>Table S1</w:t>
      </w:r>
      <w:r>
        <w:rPr>
          <w:rFonts w:ascii="Arial" w:eastAsia="Arial" w:hAnsi="Arial" w:cs="Arial"/>
        </w:rPr>
        <w:t xml:space="preserve"> and </w:t>
      </w:r>
      <w:r>
        <w:rPr>
          <w:rFonts w:ascii="Arial" w:eastAsia="Arial" w:hAnsi="Arial" w:cs="Arial"/>
          <w:b/>
        </w:rPr>
        <w:t>Figure S1A</w:t>
      </w:r>
      <w:r>
        <w:rPr>
          <w:rFonts w:ascii="Arial" w:eastAsia="Arial" w:hAnsi="Arial" w:cs="Arial"/>
        </w:rPr>
        <w:t xml:space="preserve">), which may seem inconsistent with a cooperative situation as </w:t>
      </w:r>
      <w:r>
        <w:rPr>
          <w:rFonts w:ascii="Arial" w:eastAsia="Arial" w:hAnsi="Arial" w:cs="Arial"/>
        </w:rPr>
        <w:t>seen with CO···HN H-bonds. In the case of CO···HN H-bonds, the carbonyl oxygen contributing to the H-bond is always part of the existing PPII helix. As a result, the interface under investigation is the one from which the electronic charge begins to migrat</w:t>
      </w:r>
      <w:r>
        <w:rPr>
          <w:rFonts w:ascii="Arial" w:eastAsia="Arial" w:hAnsi="Arial" w:cs="Arial"/>
        </w:rPr>
        <w:t>e to newly formed interfaces. This leads to a decrease in the initial ρ value as the antiparallel PPII helical bundle grows. On the other hand, for non-canonical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Unicode MS" w:eastAsia="Arial Unicode MS" w:hAnsi="Arial Unicode MS" w:cs="Arial Unicode MS"/>
        </w:rPr>
        <w:t xml:space="preserve"> proximal H-bonds, the carbonyl oxygen comes from the newly added PPII helix. Therefo</w:t>
      </w:r>
      <w:r>
        <w:rPr>
          <w:rFonts w:ascii="Arial Unicode MS" w:eastAsia="Arial Unicode MS" w:hAnsi="Arial Unicode MS" w:cs="Arial Unicode MS"/>
        </w:rPr>
        <w:t>re, the interface being studied in this case is the one receiving the newly added electronic charge, causing the final ρ value to increase as the assembly grows. On the other hand, the ∇</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CO···HαCα</w:t>
      </w:r>
      <w:r>
        <w:rPr>
          <w:rFonts w:ascii="Arial" w:eastAsia="Arial" w:hAnsi="Arial" w:cs="Arial"/>
        </w:rPr>
        <w:t xml:space="preserve"> values show a slight decrease (</w:t>
      </w:r>
      <w:r>
        <w:rPr>
          <w:rFonts w:ascii="Arial" w:eastAsia="Arial" w:hAnsi="Arial" w:cs="Arial"/>
          <w:b/>
        </w:rPr>
        <w:t>Table S2</w:t>
      </w:r>
      <w:r>
        <w:rPr>
          <w:rFonts w:ascii="Arial" w:eastAsia="Arial" w:hAnsi="Arial" w:cs="Arial"/>
        </w:rPr>
        <w:t xml:space="preserve"> and </w:t>
      </w:r>
      <w:r>
        <w:rPr>
          <w:rFonts w:ascii="Arial" w:eastAsia="Arial" w:hAnsi="Arial" w:cs="Arial"/>
          <w:b/>
        </w:rPr>
        <w:t>Figure S1</w:t>
      </w:r>
      <w:r>
        <w:rPr>
          <w:rFonts w:ascii="Arial" w:eastAsia="Arial" w:hAnsi="Arial" w:cs="Arial"/>
          <w:b/>
        </w:rPr>
        <w:t>B</w:t>
      </w:r>
      <w:r>
        <w:rPr>
          <w:rFonts w:ascii="Arial" w:eastAsia="Arial" w:hAnsi="Arial" w:cs="Arial"/>
        </w:rPr>
        <w:t xml:space="preserve">), indicating that while these bonds do strengthen, they do so less robustly than CO···HN bonds. </w:t>
      </w:r>
      <w:r>
        <w:rPr>
          <w:rFonts w:ascii="Arial Unicode MS" w:eastAsia="Arial Unicode MS" w:hAnsi="Arial Unicode MS" w:cs="Arial Unicode MS"/>
        </w:rPr>
        <w:t>For these two cooperative H-bonds, larger variations in ρ and ∇</w:t>
      </w:r>
      <w:r>
        <w:rPr>
          <w:rFonts w:ascii="Arial" w:eastAsia="Arial" w:hAnsi="Arial" w:cs="Arial"/>
          <w:vertAlign w:val="superscript"/>
        </w:rPr>
        <w:t>2</w:t>
      </w:r>
      <w:r>
        <w:rPr>
          <w:rFonts w:ascii="Arial" w:eastAsia="Arial" w:hAnsi="Arial" w:cs="Arial"/>
        </w:rPr>
        <w:t>ρ are seen when the system is smaller. As the system grows, the value of the computational par</w:t>
      </w:r>
      <w:r>
        <w:rPr>
          <w:rFonts w:ascii="Arial" w:eastAsia="Arial" w:hAnsi="Arial" w:cs="Arial"/>
        </w:rPr>
        <w:t xml:space="preserve">ameters remains constant or shows small variations with the addition of the </w:t>
      </w:r>
      <w:r>
        <w:rPr>
          <w:rFonts w:ascii="Arial" w:eastAsia="Arial" w:hAnsi="Arial" w:cs="Arial"/>
        </w:rPr>
        <w:lastRenderedPageBreak/>
        <w:t>rest of the antiparallel PPII helices (</w:t>
      </w:r>
      <w:r>
        <w:rPr>
          <w:rFonts w:ascii="Arial" w:eastAsia="Arial" w:hAnsi="Arial" w:cs="Arial"/>
          <w:b/>
        </w:rPr>
        <w:t>Table S1, Table S2</w:t>
      </w:r>
      <w:r>
        <w:rPr>
          <w:rFonts w:ascii="Arial" w:eastAsia="Arial" w:hAnsi="Arial" w:cs="Arial"/>
        </w:rPr>
        <w:t xml:space="preserve"> and </w:t>
      </w:r>
      <w:r>
        <w:rPr>
          <w:rFonts w:ascii="Arial" w:eastAsia="Arial" w:hAnsi="Arial" w:cs="Arial"/>
          <w:b/>
        </w:rPr>
        <w:t>Figure S1</w:t>
      </w:r>
      <w:r>
        <w:rPr>
          <w:rFonts w:ascii="Arial" w:eastAsia="Arial" w:hAnsi="Arial" w:cs="Arial"/>
        </w:rPr>
        <w:t>). Finally,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show the lowest ρ(BCP)</w:t>
      </w:r>
      <w:r>
        <w:rPr>
          <w:rFonts w:ascii="Arial" w:eastAsia="Arial" w:hAnsi="Arial" w:cs="Arial"/>
          <w:vertAlign w:val="subscript"/>
        </w:rPr>
        <w:t>CO···HαCα</w:t>
      </w:r>
      <w:r>
        <w:rPr>
          <w:rFonts w:ascii="Arial" w:eastAsia="Arial" w:hAnsi="Arial" w:cs="Arial"/>
        </w:rPr>
        <w:t xml:space="preserve"> values (</w:t>
      </w:r>
      <w:r>
        <w:rPr>
          <w:rFonts w:ascii="Arial" w:eastAsia="Arial" w:hAnsi="Arial" w:cs="Arial"/>
          <w:b/>
        </w:rPr>
        <w:t>Table S1</w:t>
      </w:r>
      <w:r>
        <w:rPr>
          <w:rFonts w:ascii="Arial" w:eastAsia="Arial" w:hAnsi="Arial" w:cs="Arial"/>
        </w:rPr>
        <w:t xml:space="preserve"> and </w:t>
      </w:r>
      <w:r>
        <w:rPr>
          <w:rFonts w:ascii="Arial" w:eastAsia="Arial" w:hAnsi="Arial" w:cs="Arial"/>
          <w:b/>
        </w:rPr>
        <w:t>Figure S1A</w:t>
      </w:r>
      <w:r>
        <w:rPr>
          <w:rFonts w:ascii="Arial" w:eastAsia="Arial" w:hAnsi="Arial" w:cs="Arial"/>
        </w:rPr>
        <w:t>), which remain practically constant for every interface as the number of PPII helices increases, indicating non-cooperativity between these non-canonical H-bonds, what makes sense since they are competing with the more favored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H-bonds a</w:t>
      </w:r>
      <w:r>
        <w:rPr>
          <w:rFonts w:ascii="Arial" w:eastAsia="Arial" w:hAnsi="Arial" w:cs="Arial"/>
        </w:rPr>
        <w:t>s a result of sharing the H-donor atom, C</w:t>
      </w:r>
      <w:r>
        <w:rPr>
          <w:rFonts w:ascii="Arial" w:eastAsia="Arial" w:hAnsi="Arial" w:cs="Arial"/>
          <w:vertAlign w:val="subscript"/>
        </w:rPr>
        <w:t>α</w:t>
      </w:r>
      <w:r>
        <w:rPr>
          <w:rFonts w:ascii="Arial" w:eastAsia="Arial" w:hAnsi="Arial" w:cs="Arial"/>
        </w:rPr>
        <w:t xml:space="preserve"> (</w:t>
      </w:r>
      <w:r>
        <w:rPr>
          <w:rFonts w:ascii="Arial" w:eastAsia="Arial" w:hAnsi="Arial" w:cs="Arial"/>
          <w:b/>
        </w:rPr>
        <w:t>Figure 4A</w:t>
      </w:r>
      <w:r>
        <w:rPr>
          <w:rFonts w:ascii="Arial" w:eastAsia="Arial" w:hAnsi="Arial" w:cs="Arial"/>
        </w:rPr>
        <w:t xml:space="preserve">), as explained in the main text. Furthermore, </w:t>
      </w:r>
      <w:r>
        <w:rPr>
          <w:rFonts w:ascii="Arial Unicode MS" w:eastAsia="Arial Unicode MS" w:hAnsi="Arial Unicode MS" w:cs="Arial Unicode MS"/>
        </w:rPr>
        <w:t>∇</w:t>
      </w:r>
      <w:r>
        <w:rPr>
          <w:rFonts w:ascii="Arial" w:eastAsia="Arial" w:hAnsi="Arial" w:cs="Arial"/>
          <w:vertAlign w:val="superscript"/>
        </w:rPr>
        <w:t>2</w:t>
      </w:r>
      <w:r>
        <w:rPr>
          <w:rFonts w:ascii="Arial" w:eastAsia="Arial" w:hAnsi="Arial" w:cs="Arial"/>
        </w:rPr>
        <w:t>ρ(BCP)</w:t>
      </w:r>
      <w:r>
        <w:rPr>
          <w:rFonts w:ascii="Arial" w:eastAsia="Arial" w:hAnsi="Arial" w:cs="Arial"/>
          <w:vertAlign w:val="subscript"/>
        </w:rPr>
        <w:t>CO···HαCα</w:t>
      </w:r>
      <w:r>
        <w:rPr>
          <w:rFonts w:ascii="Arial" w:eastAsia="Arial" w:hAnsi="Arial" w:cs="Arial"/>
        </w:rPr>
        <w:t xml:space="preserve"> for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slightly increase (</w:t>
      </w:r>
      <w:r>
        <w:rPr>
          <w:rFonts w:ascii="Arial" w:eastAsia="Arial" w:hAnsi="Arial" w:cs="Arial"/>
          <w:b/>
        </w:rPr>
        <w:t>Table S2</w:t>
      </w:r>
      <w:r>
        <w:rPr>
          <w:rFonts w:ascii="Arial" w:eastAsia="Arial" w:hAnsi="Arial" w:cs="Arial"/>
        </w:rPr>
        <w:t xml:space="preserve"> and </w:t>
      </w:r>
      <w:r>
        <w:rPr>
          <w:rFonts w:ascii="Arial" w:eastAsia="Arial" w:hAnsi="Arial" w:cs="Arial"/>
          <w:b/>
        </w:rPr>
        <w:t>Figure S1B</w:t>
      </w:r>
      <w:r>
        <w:rPr>
          <w:rFonts w:ascii="Arial" w:eastAsia="Arial" w:hAnsi="Arial" w:cs="Arial"/>
        </w:rPr>
        <w:t xml:space="preserve">), while the tendency of this parameter for the other two H-bonds, </w:t>
      </w:r>
      <w:r>
        <w:rPr>
          <w:rFonts w:ascii="Arial" w:eastAsia="Arial" w:hAnsi="Arial" w:cs="Arial"/>
        </w:rPr>
        <w:t>whose cooperativity is not in doubt, is to decrease. It is also worth mentioning that in the same cases where this type of non-canonical H-bond was not detected by the NBO analysis of the main text, no BCP is found within the QTAIM analysis between the cor</w:t>
      </w:r>
      <w:r>
        <w:rPr>
          <w:rFonts w:ascii="Arial" w:eastAsia="Arial" w:hAnsi="Arial" w:cs="Arial"/>
        </w:rPr>
        <w:t>responding O and H</w:t>
      </w:r>
      <w:r>
        <w:rPr>
          <w:rFonts w:ascii="Arial" w:eastAsia="Arial" w:hAnsi="Arial" w:cs="Arial"/>
          <w:vertAlign w:val="subscript"/>
        </w:rPr>
        <w:t>α</w:t>
      </w:r>
      <w:r>
        <w:rPr>
          <w:rFonts w:ascii="Arial" w:eastAsia="Arial" w:hAnsi="Arial" w:cs="Arial"/>
        </w:rPr>
        <w:t xml:space="preserve"> atoms which supposedly give rise to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every third glycine. Therefore, we can affirm that this type of H-bond does not always exist and when it does, it is weak and non-cooperative.</w:t>
      </w: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b/>
        </w:rPr>
        <w:t>Symmetry-Adapted Perturbat</w:t>
      </w:r>
      <w:r>
        <w:rPr>
          <w:rFonts w:ascii="Arial" w:eastAsia="Arial" w:hAnsi="Arial" w:cs="Arial"/>
          <w:b/>
        </w:rPr>
        <w:t>ion Theory (SAPT).</w:t>
      </w:r>
      <w:r>
        <w:rPr>
          <w:rFonts w:ascii="Arial" w:eastAsia="Arial" w:hAnsi="Arial" w:cs="Arial"/>
        </w:rPr>
        <w:t xml:space="preserve"> SAPT is an advanced computational methodology that directly calculates noncovalent interactions between two molecules, bypassing the need for total energy calculations of the monomers and the dimer</w:t>
      </w:r>
      <w:hyperlink r:id="rId11">
        <w:r>
          <w:rPr>
            <w:rFonts w:ascii="Arial" w:eastAsia="Arial" w:hAnsi="Arial" w:cs="Arial"/>
            <w:vertAlign w:val="superscript"/>
          </w:rPr>
          <w:t>6</w:t>
        </w:r>
      </w:hyperlink>
      <w:r>
        <w:rPr>
          <w:rFonts w:ascii="Arial" w:eastAsia="Arial" w:hAnsi="Arial" w:cs="Arial"/>
        </w:rPr>
        <w:t>. Through partitioning the Hamiltonian of the dimer, SAPT isolates contributions from each monomer and their interaction, providing a clear understanding of molecular association energetics. In this framework, the Hamiltonian is form</w:t>
      </w:r>
      <w:r>
        <w:rPr>
          <w:rFonts w:ascii="Arial" w:eastAsia="Arial" w:hAnsi="Arial" w:cs="Arial"/>
        </w:rPr>
        <w:t xml:space="preserve">ulated as the sum of the monomers' usual Fock operators, </w:t>
      </w:r>
      <w:r>
        <w:rPr>
          <w:rFonts w:ascii="Arial" w:eastAsia="Arial" w:hAnsi="Arial" w:cs="Arial"/>
          <w:i/>
        </w:rPr>
        <w:t>F</w:t>
      </w:r>
      <w:r>
        <w:rPr>
          <w:rFonts w:ascii="Arial" w:eastAsia="Arial" w:hAnsi="Arial" w:cs="Arial"/>
        </w:rPr>
        <w:t xml:space="preserve">, the fluctuation potential of each monomer, </w:t>
      </w:r>
      <w:r>
        <w:rPr>
          <w:rFonts w:ascii="Arial" w:eastAsia="Arial" w:hAnsi="Arial" w:cs="Arial"/>
          <w:i/>
        </w:rPr>
        <w:t>W</w:t>
      </w:r>
      <w:r>
        <w:rPr>
          <w:rFonts w:ascii="Arial" w:eastAsia="Arial" w:hAnsi="Arial" w:cs="Arial"/>
        </w:rPr>
        <w:t xml:space="preserve">, and the interaction potential, </w:t>
      </w:r>
      <w:r>
        <w:rPr>
          <w:rFonts w:ascii="Arial" w:eastAsia="Arial" w:hAnsi="Arial" w:cs="Arial"/>
          <w:i/>
        </w:rPr>
        <w:t>V</w:t>
      </w:r>
      <w:r>
        <w:rPr>
          <w:rFonts w:ascii="Arial" w:eastAsia="Arial" w:hAnsi="Arial" w:cs="Arial"/>
        </w:rPr>
        <w:t xml:space="preserve">. The monomer Fock operators, </w:t>
      </w:r>
      <w:r>
        <w:rPr>
          <w:rFonts w:ascii="Arial" w:eastAsia="Arial" w:hAnsi="Arial" w:cs="Arial"/>
          <w:i/>
        </w:rPr>
        <w:t>F</w:t>
      </w:r>
      <w:r>
        <w:rPr>
          <w:rFonts w:ascii="Arial" w:eastAsia="Arial" w:hAnsi="Arial" w:cs="Arial"/>
          <w:i/>
          <w:vertAlign w:val="subscript"/>
        </w:rPr>
        <w:t xml:space="preserve">A </w:t>
      </w:r>
      <w:r>
        <w:rPr>
          <w:rFonts w:ascii="Arial" w:eastAsia="Arial" w:hAnsi="Arial" w:cs="Arial"/>
          <w:i/>
        </w:rPr>
        <w:t>+</w:t>
      </w:r>
      <w:r>
        <w:rPr>
          <w:rFonts w:ascii="Arial" w:eastAsia="Arial" w:hAnsi="Arial" w:cs="Arial"/>
        </w:rPr>
        <w:t xml:space="preserve"> </w:t>
      </w:r>
      <w:r>
        <w:rPr>
          <w:rFonts w:ascii="Arial" w:eastAsia="Arial" w:hAnsi="Arial" w:cs="Arial"/>
          <w:i/>
        </w:rPr>
        <w:t>F</w:t>
      </w:r>
      <w:r>
        <w:rPr>
          <w:rFonts w:ascii="Arial" w:eastAsia="Arial" w:hAnsi="Arial" w:cs="Arial"/>
          <w:i/>
          <w:vertAlign w:val="subscript"/>
        </w:rPr>
        <w:t>B</w:t>
      </w:r>
      <w:r>
        <w:rPr>
          <w:rFonts w:ascii="Arial" w:eastAsia="Arial" w:hAnsi="Arial" w:cs="Arial"/>
        </w:rPr>
        <w:t>, are considered the zeroth-order Hamiltonian, and the interaction energy is eval</w:t>
      </w:r>
      <w:r>
        <w:rPr>
          <w:rFonts w:ascii="Arial" w:eastAsia="Arial" w:hAnsi="Arial" w:cs="Arial"/>
        </w:rPr>
        <w:t xml:space="preserve">uated through a perturbative expansion of </w:t>
      </w:r>
      <w:r>
        <w:rPr>
          <w:rFonts w:ascii="Arial" w:eastAsia="Arial" w:hAnsi="Arial" w:cs="Arial"/>
          <w:i/>
        </w:rPr>
        <w:t>V</w:t>
      </w:r>
      <w:r>
        <w:rPr>
          <w:rFonts w:ascii="Arial" w:eastAsia="Arial" w:hAnsi="Arial" w:cs="Arial"/>
        </w:rPr>
        <w:t xml:space="preserve">, </w:t>
      </w:r>
      <w:r>
        <w:rPr>
          <w:rFonts w:ascii="Arial" w:eastAsia="Arial" w:hAnsi="Arial" w:cs="Arial"/>
          <w:i/>
        </w:rPr>
        <w:t>W</w:t>
      </w:r>
      <w:r>
        <w:rPr>
          <w:rFonts w:ascii="Arial" w:eastAsia="Arial" w:hAnsi="Arial" w:cs="Arial"/>
          <w:i/>
          <w:vertAlign w:val="subscript"/>
        </w:rPr>
        <w:t>A</w:t>
      </w:r>
      <w:r>
        <w:rPr>
          <w:rFonts w:ascii="Arial" w:eastAsia="Arial" w:hAnsi="Arial" w:cs="Arial"/>
        </w:rPr>
        <w:t>​</w:t>
      </w:r>
      <w:r>
        <w:rPr>
          <w:rFonts w:ascii="Arial" w:eastAsia="Arial" w:hAnsi="Arial" w:cs="Arial"/>
        </w:rPr>
        <w:t xml:space="preserve"> and </w:t>
      </w:r>
      <w:r>
        <w:rPr>
          <w:rFonts w:ascii="Arial" w:eastAsia="Arial" w:hAnsi="Arial" w:cs="Arial"/>
          <w:i/>
        </w:rPr>
        <w:t>W</w:t>
      </w:r>
      <w:r>
        <w:rPr>
          <w:rFonts w:ascii="Arial" w:eastAsia="Arial" w:hAnsi="Arial" w:cs="Arial"/>
          <w:i/>
          <w:vertAlign w:val="subscript"/>
        </w:rPr>
        <w:t>B</w:t>
      </w:r>
      <w:r>
        <w:rPr>
          <w:rFonts w:ascii="Arial" w:eastAsia="Arial" w:hAnsi="Arial" w:cs="Arial"/>
        </w:rPr>
        <w:t>​</w:t>
      </w:r>
      <w:r>
        <w:rPr>
          <w:rFonts w:ascii="Arial" w:eastAsia="Arial" w:hAnsi="Arial" w:cs="Arial"/>
        </w:rPr>
        <w:t>:</w:t>
      </w:r>
    </w:p>
    <w:p w:rsidR="00D50A26" w:rsidRDefault="00D50A26">
      <w:pPr>
        <w:spacing w:line="360" w:lineRule="auto"/>
        <w:jc w:val="both"/>
        <w:rPr>
          <w:rFonts w:ascii="Arial" w:eastAsia="Arial" w:hAnsi="Arial" w:cs="Arial"/>
        </w:rPr>
      </w:pPr>
    </w:p>
    <w:tbl>
      <w:tblPr>
        <w:tblStyle w:val="a"/>
        <w:tblW w:w="9972" w:type="dxa"/>
        <w:tblInd w:w="0" w:type="dxa"/>
        <w:tblLayout w:type="fixed"/>
        <w:tblLook w:val="0400" w:firstRow="0" w:lastRow="0" w:firstColumn="0" w:lastColumn="0" w:noHBand="0" w:noVBand="1"/>
      </w:tblPr>
      <w:tblGrid>
        <w:gridCol w:w="8864"/>
        <w:gridCol w:w="1108"/>
      </w:tblGrid>
      <w:tr w:rsidR="00D50A26">
        <w:trPr>
          <w:tblHeader/>
        </w:trPr>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rPr>
            </w:pPr>
            <m:oMathPara>
              <m:oMath>
                <m:r>
                  <w:rPr>
                    <w:rFonts w:ascii="Cambria Math" w:eastAsia="Cambria Math" w:hAnsi="Cambria Math" w:cs="Cambria Math"/>
                  </w:rPr>
                  <m:t>H</m:t>
                </m:r>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A</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A</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B</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B</m:t>
                    </m:r>
                  </m:sub>
                </m:sSub>
                <m:r>
                  <w:rPr>
                    <w:rFonts w:ascii="Cambria Math" w:eastAsia="Cambria Math" w:hAnsi="Cambria Math" w:cs="Cambria Math"/>
                  </w:rPr>
                  <m:t>+</m:t>
                </m:r>
                <m:r>
                  <w:rPr>
                    <w:rFonts w:ascii="Cambria Math" w:eastAsia="Cambria Math" w:hAnsi="Cambria Math" w:cs="Cambria Math"/>
                  </w:rPr>
                  <m:t>V</m:t>
                </m:r>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(1)</w:t>
            </w:r>
          </w:p>
        </w:tc>
      </w:tr>
    </w:tbl>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SAPT methodology breaks down the interaction energy into electrostatic (</w:t>
      </w:r>
      <w:r>
        <w:rPr>
          <w:rFonts w:ascii="Arial" w:eastAsia="Arial" w:hAnsi="Arial" w:cs="Arial"/>
          <w:i/>
        </w:rPr>
        <w:t>E</w:t>
      </w:r>
      <w:r>
        <w:rPr>
          <w:rFonts w:ascii="Arial" w:eastAsia="Arial" w:hAnsi="Arial" w:cs="Arial"/>
          <w:i/>
          <w:vertAlign w:val="subscript"/>
        </w:rPr>
        <w:t>elec</w:t>
      </w:r>
      <w:r>
        <w:rPr>
          <w:rFonts w:ascii="Arial" w:eastAsia="Arial" w:hAnsi="Arial" w:cs="Arial"/>
        </w:rPr>
        <w:t>), induction (</w:t>
      </w:r>
      <w:r>
        <w:rPr>
          <w:rFonts w:ascii="Arial" w:eastAsia="Arial" w:hAnsi="Arial" w:cs="Arial"/>
          <w:i/>
        </w:rPr>
        <w:t>E</w:t>
      </w:r>
      <w:r>
        <w:rPr>
          <w:rFonts w:ascii="Arial" w:eastAsia="Arial" w:hAnsi="Arial" w:cs="Arial"/>
          <w:i/>
          <w:vertAlign w:val="subscript"/>
        </w:rPr>
        <w:t>ind</w:t>
      </w:r>
      <w:r>
        <w:rPr>
          <w:rFonts w:ascii="Arial" w:eastAsia="Arial" w:hAnsi="Arial" w:cs="Arial"/>
        </w:rPr>
        <w:t>), dispersion (</w:t>
      </w:r>
      <w:r>
        <w:rPr>
          <w:rFonts w:ascii="Arial" w:eastAsia="Arial" w:hAnsi="Arial" w:cs="Arial"/>
          <w:i/>
        </w:rPr>
        <w:t>E</w:t>
      </w:r>
      <w:r>
        <w:rPr>
          <w:rFonts w:ascii="Arial" w:eastAsia="Arial" w:hAnsi="Arial" w:cs="Arial"/>
          <w:i/>
          <w:vertAlign w:val="subscript"/>
        </w:rPr>
        <w:t>disp</w:t>
      </w:r>
      <w:r>
        <w:rPr>
          <w:rFonts w:ascii="Arial" w:eastAsia="Arial" w:hAnsi="Arial" w:cs="Arial"/>
        </w:rPr>
        <w:t>), and exchange (</w:t>
      </w:r>
      <w:r>
        <w:rPr>
          <w:rFonts w:ascii="Arial" w:eastAsia="Arial" w:hAnsi="Arial" w:cs="Arial"/>
          <w:i/>
        </w:rPr>
        <w:t>E</w:t>
      </w:r>
      <w:r>
        <w:rPr>
          <w:rFonts w:ascii="Arial" w:eastAsia="Arial" w:hAnsi="Arial" w:cs="Arial"/>
          <w:i/>
          <w:vertAlign w:val="subscript"/>
        </w:rPr>
        <w:t>ex</w:t>
      </w:r>
      <w:r>
        <w:rPr>
          <w:rFonts w:ascii="Arial" w:eastAsia="Arial" w:hAnsi="Arial" w:cs="Arial"/>
        </w:rPr>
        <w:t xml:space="preserve">) components, offering detailed insights into the forces driving molecular interactions. For small systems, like the mimetic molecules for each H-bond </w:t>
      </w:r>
      <w:r>
        <w:rPr>
          <w:rFonts w:ascii="Arial" w:eastAsia="Arial" w:hAnsi="Arial" w:cs="Arial"/>
        </w:rPr>
        <w:lastRenderedPageBreak/>
        <w:t>type of this study, accurate interaction energies can be obtained through high-order SAPT computations, s</w:t>
      </w:r>
      <w:r>
        <w:rPr>
          <w:rFonts w:ascii="Arial" w:eastAsia="Arial" w:hAnsi="Arial" w:cs="Arial"/>
        </w:rPr>
        <w:t>o we chose the SAPT2+3 method including the density-fitting (DF) approximation to improve efficiency</w:t>
      </w:r>
      <w:hyperlink r:id="rId12">
        <w:r>
          <w:rPr>
            <w:rFonts w:ascii="Arial" w:eastAsia="Arial" w:hAnsi="Arial" w:cs="Arial"/>
            <w:vertAlign w:val="superscript"/>
          </w:rPr>
          <w:t>7</w:t>
        </w:r>
      </w:hyperlink>
      <w:r>
        <w:rPr>
          <w:rFonts w:ascii="Arial" w:eastAsia="Arial" w:hAnsi="Arial" w:cs="Arial"/>
        </w:rPr>
        <w:t>:</w:t>
      </w:r>
    </w:p>
    <w:p w:rsidR="00D50A26" w:rsidRDefault="00F367A7">
      <w:pPr>
        <w:spacing w:line="360" w:lineRule="auto"/>
        <w:jc w:val="both"/>
        <w:rPr>
          <w:rFonts w:ascii="Arial" w:eastAsia="Arial" w:hAnsi="Arial" w:cs="Arial"/>
        </w:rPr>
      </w:pPr>
      <w:r>
        <w:rPr>
          <w:rFonts w:ascii="Arial" w:eastAsia="Arial" w:hAnsi="Arial" w:cs="Arial"/>
        </w:rPr>
        <w:t xml:space="preserve"> </w:t>
      </w:r>
    </w:p>
    <w:tbl>
      <w:tblPr>
        <w:tblStyle w:val="a0"/>
        <w:tblW w:w="9972" w:type="dxa"/>
        <w:tblInd w:w="0" w:type="dxa"/>
        <w:tblLayout w:type="fixed"/>
        <w:tblLook w:val="0400" w:firstRow="0" w:lastRow="0" w:firstColumn="0" w:lastColumn="0" w:noHBand="0" w:noVBand="1"/>
      </w:tblPr>
      <w:tblGrid>
        <w:gridCol w:w="8864"/>
        <w:gridCol w:w="1108"/>
      </w:tblGrid>
      <w:tr w:rsidR="00D50A26">
        <w:trPr>
          <w:tblHeader/>
        </w:trPr>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rPr>
            </w:pPr>
            <m:oMathPara>
              <m:oMath>
                <m:r>
                  <w:rPr>
                    <w:rFonts w:ascii="Cambria Math" w:eastAsia="Cambria Math" w:hAnsi="Cambria Math" w:cs="Cambria Math"/>
                  </w:rPr>
                  <m:t>E</m:t>
                </m:r>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elec</m:t>
                    </m:r>
                  </m:sub>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ind</m:t>
                    </m:r>
                  </m:sub>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disp</m:t>
                    </m:r>
                  </m:sub>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ex</m:t>
                    </m:r>
                  </m:sub>
                  <m:sup/>
                </m:sSubSup>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(2)</w:t>
            </w:r>
          </w:p>
        </w:tc>
      </w:tr>
    </w:tbl>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where:</w:t>
      </w:r>
    </w:p>
    <w:p w:rsidR="00D50A26" w:rsidRDefault="00D50A26">
      <w:pPr>
        <w:spacing w:line="360" w:lineRule="auto"/>
        <w:jc w:val="both"/>
        <w:rPr>
          <w:rFonts w:ascii="Arial" w:eastAsia="Arial" w:hAnsi="Arial" w:cs="Arial"/>
        </w:rPr>
      </w:pPr>
    </w:p>
    <w:tbl>
      <w:tblPr>
        <w:tblStyle w:val="a1"/>
        <w:tblW w:w="9972" w:type="dxa"/>
        <w:tblInd w:w="0" w:type="dxa"/>
        <w:tblLayout w:type="fixed"/>
        <w:tblLook w:val="0400" w:firstRow="0" w:lastRow="0" w:firstColumn="0" w:lastColumn="0" w:noHBand="0" w:noVBand="1"/>
      </w:tblPr>
      <w:tblGrid>
        <w:gridCol w:w="8864"/>
        <w:gridCol w:w="1108"/>
      </w:tblGrid>
      <w:tr w:rsidR="00D50A26">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sz w:val="17"/>
                <w:szCs w:val="17"/>
              </w:rPr>
            </w:pPr>
            <m:oMathPara>
              <m:oMath>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elec</m:t>
                    </m:r>
                  </m:sub>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elec</m:t>
                    </m:r>
                  </m:sub>
                  <m:sup>
                    <m:r>
                      <w:rPr>
                        <w:rFonts w:ascii="Cambria Math" w:eastAsia="Cambria Math" w:hAnsi="Cambria Math" w:cs="Cambria Math"/>
                        <w:sz w:val="17"/>
                        <w:szCs w:val="17"/>
                      </w:rPr>
                      <m:t>(10)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m:t>
                    </m:r>
                    <m:r>
                      <w:rPr>
                        <w:rFonts w:ascii="Cambria Math" w:eastAsia="Cambria Math" w:hAnsi="Cambria Math" w:cs="Cambria Math"/>
                      </w:rPr>
                      <m:t>lec</m:t>
                    </m:r>
                    <m:r>
                      <w:rPr>
                        <w:rFonts w:ascii="Cambria Math" w:eastAsia="Cambria Math" w:hAnsi="Cambria Math" w:cs="Cambria Math"/>
                      </w:rPr>
                      <m:t xml:space="preserve">, </m:t>
                    </m:r>
                    <m:r>
                      <w:rPr>
                        <w:rFonts w:ascii="Cambria Math" w:eastAsia="Cambria Math" w:hAnsi="Cambria Math" w:cs="Cambria Math"/>
                      </w:rPr>
                      <m:t>resp</m:t>
                    </m:r>
                  </m:sub>
                  <m:sup>
                    <m:r>
                      <w:rPr>
                        <w:rFonts w:ascii="Cambria Math" w:eastAsia="Cambria Math" w:hAnsi="Cambria Math" w:cs="Cambria Math"/>
                        <w:sz w:val="17"/>
                        <w:szCs w:val="17"/>
                      </w:rPr>
                      <m:t>(12)</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elec</m:t>
                    </m:r>
                    <m:r>
                      <w:rPr>
                        <w:rFonts w:ascii="Cambria Math" w:eastAsia="Cambria Math" w:hAnsi="Cambria Math" w:cs="Cambria Math"/>
                      </w:rPr>
                      <m:t xml:space="preserve">, </m:t>
                    </m:r>
                    <m:r>
                      <w:rPr>
                        <w:rFonts w:ascii="Cambria Math" w:eastAsia="Cambria Math" w:hAnsi="Cambria Math" w:cs="Cambria Math"/>
                      </w:rPr>
                      <m:t>resp</m:t>
                    </m:r>
                  </m:sub>
                  <m:sup>
                    <m:r>
                      <w:rPr>
                        <w:rFonts w:ascii="Cambria Math" w:eastAsia="Cambria Math" w:hAnsi="Cambria Math" w:cs="Cambria Math"/>
                        <w:sz w:val="17"/>
                        <w:szCs w:val="17"/>
                      </w:rPr>
                      <m:t>(13)</m:t>
                    </m:r>
                  </m:sup>
                </m:sSubSup>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(3)</w:t>
            </w:r>
          </w:p>
        </w:tc>
      </w:tr>
      <w:tr w:rsidR="00D50A26">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sz w:val="17"/>
                <w:szCs w:val="17"/>
              </w:rPr>
            </w:pPr>
            <m:oMathPara>
              <m:oMath>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ind</m:t>
                    </m:r>
                  </m:sub>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ind</m:t>
                    </m:r>
                    <m:r>
                      <w:rPr>
                        <w:rFonts w:ascii="Cambria Math" w:eastAsia="Cambria Math" w:hAnsi="Cambria Math" w:cs="Cambria Math"/>
                      </w:rPr>
                      <m:t xml:space="preserve">, </m:t>
                    </m:r>
                    <m:r>
                      <w:rPr>
                        <w:rFonts w:ascii="Cambria Math" w:eastAsia="Cambria Math" w:hAnsi="Cambria Math" w:cs="Cambria Math"/>
                      </w:rPr>
                      <m:t>resp</m:t>
                    </m:r>
                  </m:sub>
                  <m:sup>
                    <m:r>
                      <w:rPr>
                        <w:rFonts w:ascii="Cambria Math" w:eastAsia="Cambria Math" w:hAnsi="Cambria Math" w:cs="Cambria Math"/>
                        <w:sz w:val="17"/>
                        <w:szCs w:val="17"/>
                      </w:rPr>
                      <m:t>(20)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ind</m:t>
                    </m:r>
                    <m:r>
                      <w:rPr>
                        <w:rFonts w:ascii="Cambria Math" w:eastAsia="Cambria Math" w:hAnsi="Cambria Math" w:cs="Cambria Math"/>
                      </w:rPr>
                      <m:t xml:space="preserve">, </m:t>
                    </m:r>
                    <m:r>
                      <w:rPr>
                        <w:rFonts w:ascii="Cambria Math" w:eastAsia="Cambria Math" w:hAnsi="Cambria Math" w:cs="Cambria Math"/>
                      </w:rPr>
                      <m:t>resp</m:t>
                    </m:r>
                  </m:sub>
                  <m:sup>
                    <m:r>
                      <w:rPr>
                        <w:rFonts w:ascii="Cambria Math" w:eastAsia="Cambria Math" w:hAnsi="Cambria Math" w:cs="Cambria Math"/>
                        <w:sz w:val="17"/>
                        <w:szCs w:val="17"/>
                      </w:rPr>
                      <m:t>(20)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ind</m:t>
                    </m:r>
                  </m:sub>
                  <m:sup>
                    <m:r>
                      <w:rPr>
                        <w:rFonts w:ascii="Cambria Math" w:eastAsia="Cambria Math" w:hAnsi="Cambria Math" w:cs="Cambria Math"/>
                        <w:sz w:val="17"/>
                        <w:szCs w:val="17"/>
                      </w:rPr>
                      <m:t>(22)</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ind</m:t>
                    </m:r>
                  </m:sub>
                  <m:sup>
                    <m:r>
                      <w:rPr>
                        <w:rFonts w:ascii="Cambria Math" w:eastAsia="Cambria Math" w:hAnsi="Cambria Math" w:cs="Cambria Math"/>
                        <w:sz w:val="17"/>
                        <w:szCs w:val="17"/>
                      </w:rPr>
                      <m:t>(22)</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ind</m:t>
                    </m:r>
                  </m:sub>
                  <m:sup>
                    <m:r>
                      <w:rPr>
                        <w:rFonts w:ascii="Cambria Math" w:eastAsia="Cambria Math" w:hAnsi="Cambria Math" w:cs="Cambria Math"/>
                        <w:sz w:val="17"/>
                        <w:szCs w:val="17"/>
                      </w:rPr>
                      <m:t>(30)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ind</m:t>
                    </m:r>
                    <m:r>
                      <w:rPr>
                        <w:rFonts w:ascii="Cambria Math" w:eastAsia="Cambria Math" w:hAnsi="Cambria Math" w:cs="Cambria Math"/>
                      </w:rPr>
                      <m:t xml:space="preserve">, </m:t>
                    </m:r>
                    <m:r>
                      <w:rPr>
                        <w:rFonts w:ascii="Cambria Math" w:eastAsia="Cambria Math" w:hAnsi="Cambria Math" w:cs="Cambria Math"/>
                      </w:rPr>
                      <m:t>resp</m:t>
                    </m:r>
                  </m:sub>
                  <m:sup>
                    <m:r>
                      <w:rPr>
                        <w:rFonts w:ascii="Cambria Math" w:eastAsia="Cambria Math" w:hAnsi="Cambria Math" w:cs="Cambria Math"/>
                        <w:sz w:val="17"/>
                        <w:szCs w:val="17"/>
                      </w:rPr>
                      <m:t>(30)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δ</m:t>
                    </m:r>
                  </m:e>
                  <m:sub>
                    <m:r>
                      <w:rPr>
                        <w:rFonts w:ascii="Cambria Math" w:eastAsia="Cambria Math" w:hAnsi="Cambria Math" w:cs="Cambria Math"/>
                      </w:rPr>
                      <m:t>HF</m:t>
                    </m:r>
                  </m:sub>
                  <m:sup>
                    <m:r>
                      <w:rPr>
                        <w:rFonts w:ascii="Cambria Math" w:eastAsia="Cambria Math" w:hAnsi="Cambria Math" w:cs="Cambria Math"/>
                        <w:sz w:val="17"/>
                        <w:szCs w:val="17"/>
                      </w:rPr>
                      <m:t>(3)</m:t>
                    </m:r>
                  </m:sup>
                </m:sSubSup>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(4)</w:t>
            </w:r>
          </w:p>
        </w:tc>
      </w:tr>
      <w:tr w:rsidR="00D50A26">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sz w:val="17"/>
                <w:szCs w:val="17"/>
              </w:rPr>
            </w:pPr>
            <m:oMathPara>
              <m:oMath>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disp</m:t>
                    </m:r>
                  </m:sub>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disp</m:t>
                    </m:r>
                  </m:sub>
                  <m:sup>
                    <m:r>
                      <w:rPr>
                        <w:rFonts w:ascii="Cambria Math" w:eastAsia="Cambria Math" w:hAnsi="Cambria Math" w:cs="Cambria Math"/>
                        <w:sz w:val="17"/>
                        <w:szCs w:val="17"/>
                      </w:rPr>
                      <m:t>(20)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disp</m:t>
                    </m:r>
                  </m:sub>
                  <m:sup>
                    <m:r>
                      <w:rPr>
                        <w:rFonts w:ascii="Cambria Math" w:eastAsia="Cambria Math" w:hAnsi="Cambria Math" w:cs="Cambria Math"/>
                        <w:sz w:val="17"/>
                        <w:szCs w:val="17"/>
                      </w:rPr>
                      <m:t>(20)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disp</m:t>
                    </m:r>
                  </m:sub>
                  <m:sup>
                    <m:r>
                      <w:rPr>
                        <w:rFonts w:ascii="Cambria Math" w:eastAsia="Cambria Math" w:hAnsi="Cambria Math" w:cs="Cambria Math"/>
                        <w:sz w:val="17"/>
                        <w:szCs w:val="17"/>
                      </w:rPr>
                      <m:t>(21)</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disp</m:t>
                    </m:r>
                  </m:sub>
                  <m:sup>
                    <m:r>
                      <w:rPr>
                        <w:rFonts w:ascii="Cambria Math" w:eastAsia="Cambria Math" w:hAnsi="Cambria Math" w:cs="Cambria Math"/>
                        <w:sz w:val="17"/>
                        <w:szCs w:val="17"/>
                      </w:rPr>
                      <m:t>(22)</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disp</m:t>
                    </m:r>
                  </m:sub>
                  <m:sup>
                    <m:r>
                      <w:rPr>
                        <w:rFonts w:ascii="Cambria Math" w:eastAsia="Cambria Math" w:hAnsi="Cambria Math" w:cs="Cambria Math"/>
                        <w:sz w:val="17"/>
                        <w:szCs w:val="17"/>
                      </w:rPr>
                      <m:t>(30)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disp</m:t>
                    </m:r>
                  </m:sub>
                  <m:sup>
                    <m:r>
                      <w:rPr>
                        <w:rFonts w:ascii="Cambria Math" w:eastAsia="Cambria Math" w:hAnsi="Cambria Math" w:cs="Cambria Math"/>
                        <w:sz w:val="17"/>
                        <w:szCs w:val="17"/>
                      </w:rPr>
                      <m:t>(30)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ind</m:t>
                    </m:r>
                    <m:r>
                      <w:rPr>
                        <w:rFonts w:ascii="Cambria Math" w:eastAsia="Cambria Math" w:hAnsi="Cambria Math" w:cs="Cambria Math"/>
                      </w:rPr>
                      <m:t>-</m:t>
                    </m:r>
                    <m:r>
                      <w:rPr>
                        <w:rFonts w:ascii="Cambria Math" w:eastAsia="Cambria Math" w:hAnsi="Cambria Math" w:cs="Cambria Math"/>
                      </w:rPr>
                      <m:t>disp</m:t>
                    </m:r>
                  </m:sub>
                  <m:sup>
                    <m:r>
                      <w:rPr>
                        <w:rFonts w:ascii="Cambria Math" w:eastAsia="Cambria Math" w:hAnsi="Cambria Math" w:cs="Cambria Math"/>
                        <w:sz w:val="17"/>
                        <w:szCs w:val="17"/>
                      </w:rPr>
                      <m:t>(30)</m:t>
                    </m:r>
                  </m:sup>
                </m:sSubSup>
                <m:r>
                  <w:rPr>
                    <w:rFonts w:ascii="Cambria Math" w:eastAsia="Cambria Math" w:hAnsi="Cambria Math" w:cs="Cambria Math"/>
                  </w:rPr>
                  <m:t>+</m:t>
                </m:r>
                <m:sSubSup>
                  <m:sSubSupPr>
                    <m:ctrlPr>
                      <w:rPr>
                        <w:rFonts w:ascii="Cambria Math" w:eastAsia="Cambria Math" w:hAnsi="Cambria Math" w:cs="Cambria Math"/>
                        <w:sz w:val="17"/>
                        <w:szCs w:val="17"/>
                      </w:rPr>
                    </m:ctrlPr>
                  </m:sSubSupPr>
                  <m:e>
                    <m:r>
                      <w:rPr>
                        <w:rFonts w:ascii="Cambria Math" w:eastAsia="Cambria Math" w:hAnsi="Cambria Math" w:cs="Cambria Math"/>
                      </w:rPr>
                      <m:t>E</m:t>
                    </m:r>
                  </m:e>
                  <m:sub>
                    <m:r>
                      <w:rPr>
                        <w:rFonts w:ascii="Cambria Math" w:eastAsia="Cambria Math" w:hAnsi="Cambria Math" w:cs="Cambria Math"/>
                      </w:rPr>
                      <m:t>ex</m:t>
                    </m:r>
                    <m:r>
                      <w:rPr>
                        <w:rFonts w:ascii="Cambria Math" w:eastAsia="Cambria Math" w:hAnsi="Cambria Math" w:cs="Cambria Math"/>
                      </w:rPr>
                      <m:t>-</m:t>
                    </m:r>
                    <m:r>
                      <w:rPr>
                        <w:rFonts w:ascii="Cambria Math" w:eastAsia="Cambria Math" w:hAnsi="Cambria Math" w:cs="Cambria Math"/>
                      </w:rPr>
                      <m:t>ind</m:t>
                    </m:r>
                    <m:r>
                      <w:rPr>
                        <w:rFonts w:ascii="Cambria Math" w:eastAsia="Cambria Math" w:hAnsi="Cambria Math" w:cs="Cambria Math"/>
                      </w:rPr>
                      <m:t>-</m:t>
                    </m:r>
                    <m:r>
                      <w:rPr>
                        <w:rFonts w:ascii="Cambria Math" w:eastAsia="Cambria Math" w:hAnsi="Cambria Math" w:cs="Cambria Math"/>
                      </w:rPr>
                      <m:t>disp</m:t>
                    </m:r>
                  </m:sub>
                  <m:sup>
                    <m:r>
                      <w:rPr>
                        <w:rFonts w:ascii="Cambria Math" w:eastAsia="Cambria Math" w:hAnsi="Cambria Math" w:cs="Cambria Math"/>
                        <w:sz w:val="17"/>
                        <w:szCs w:val="17"/>
                      </w:rPr>
                      <m:t>(30)</m:t>
                    </m:r>
                  </m:sup>
                </m:sSubSup>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(5)</w:t>
            </w:r>
          </w:p>
        </w:tc>
      </w:tr>
      <w:tr w:rsidR="00D50A26">
        <w:tc>
          <w:tcPr>
            <w:tcW w:w="8864" w:type="dxa"/>
            <w:tcMar>
              <w:top w:w="55" w:type="dxa"/>
              <w:left w:w="55" w:type="dxa"/>
              <w:bottom w:w="55" w:type="dxa"/>
              <w:right w:w="55" w:type="dxa"/>
            </w:tcMar>
            <w:vAlign w:val="center"/>
          </w:tcPr>
          <w:p w:rsidR="00D50A26" w:rsidRDefault="00F367A7">
            <w:pPr>
              <w:jc w:val="center"/>
              <w:rPr>
                <w:rFonts w:ascii="Cambria Math" w:eastAsia="Cambria Math" w:hAnsi="Cambria Math" w:cs="Cambria Math"/>
              </w:rPr>
            </w:pPr>
            <m:oMathPara>
              <m:oMath>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ex</m:t>
                    </m:r>
                  </m:sub>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ex</m:t>
                    </m:r>
                  </m:sub>
                  <m:sup>
                    <m:r>
                      <w:rPr>
                        <w:rFonts w:ascii="Cambria Math" w:eastAsia="Cambria Math" w:hAnsi="Cambria Math" w:cs="Cambria Math"/>
                      </w:rPr>
                      <m:t>(10)</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ex</m:t>
                    </m:r>
                  </m:sub>
                  <m:sup>
                    <m:r>
                      <w:rPr>
                        <w:rFonts w:ascii="Cambria Math" w:eastAsia="Cambria Math" w:hAnsi="Cambria Math" w:cs="Cambria Math"/>
                      </w:rPr>
                      <m:t>(11)</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E</m:t>
                    </m:r>
                  </m:e>
                  <m:sub>
                    <m:r>
                      <w:rPr>
                        <w:rFonts w:ascii="Cambria Math" w:eastAsia="Cambria Math" w:hAnsi="Cambria Math" w:cs="Cambria Math"/>
                      </w:rPr>
                      <m:t>ex</m:t>
                    </m:r>
                  </m:sub>
                  <m:sup>
                    <m:r>
                      <w:rPr>
                        <w:rFonts w:ascii="Cambria Math" w:eastAsia="Cambria Math" w:hAnsi="Cambria Math" w:cs="Cambria Math"/>
                      </w:rPr>
                      <m:t>(12)</m:t>
                    </m:r>
                  </m:sup>
                </m:sSubSup>
              </m:oMath>
            </m:oMathPara>
          </w:p>
        </w:tc>
        <w:tc>
          <w:tcPr>
            <w:tcW w:w="1108" w:type="dxa"/>
            <w:tcMar>
              <w:top w:w="55" w:type="dxa"/>
              <w:left w:w="55" w:type="dxa"/>
              <w:bottom w:w="55" w:type="dxa"/>
              <w:right w:w="55" w:type="dxa"/>
            </w:tcMar>
            <w:vAlign w:val="center"/>
          </w:tcPr>
          <w:p w:rsidR="00D50A26" w:rsidRDefault="00F367A7">
            <w:pPr>
              <w:spacing w:line="360" w:lineRule="auto"/>
              <w:jc w:val="right"/>
              <w:rPr>
                <w:rFonts w:ascii="Arial" w:eastAsia="Arial" w:hAnsi="Arial" w:cs="Arial"/>
              </w:rPr>
            </w:pPr>
            <w:r>
              <w:rPr>
                <w:rFonts w:ascii="Arial" w:eastAsia="Arial" w:hAnsi="Arial" w:cs="Arial"/>
              </w:rPr>
              <w:t xml:space="preserve">    (6)</w:t>
            </w:r>
          </w:p>
        </w:tc>
      </w:tr>
    </w:tbl>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i/>
        </w:rPr>
        <w:t>E</w:t>
      </w:r>
      <w:r>
        <w:rPr>
          <w:rFonts w:ascii="Arial" w:eastAsia="Arial" w:hAnsi="Arial" w:cs="Arial"/>
          <w:i/>
          <w:vertAlign w:val="superscript"/>
        </w:rPr>
        <w:t>(vw)</w:t>
      </w:r>
      <w:r>
        <w:rPr>
          <w:rFonts w:ascii="Arial" w:eastAsia="Arial" w:hAnsi="Arial" w:cs="Arial"/>
        </w:rPr>
        <w:t xml:space="preserve"> defines the order in </w:t>
      </w:r>
      <w:r>
        <w:rPr>
          <w:rFonts w:ascii="Arial" w:eastAsia="Arial" w:hAnsi="Arial" w:cs="Arial"/>
          <w:i/>
        </w:rPr>
        <w:t>V</w:t>
      </w:r>
      <w:r>
        <w:rPr>
          <w:rFonts w:ascii="Arial" w:eastAsia="Arial" w:hAnsi="Arial" w:cs="Arial"/>
        </w:rPr>
        <w:t xml:space="preserve"> and in </w:t>
      </w:r>
      <w:r>
        <w:rPr>
          <w:rFonts w:ascii="Arial" w:eastAsia="Arial" w:hAnsi="Arial" w:cs="Arial"/>
          <w:i/>
        </w:rPr>
        <w:t>W</w:t>
      </w:r>
      <w:r>
        <w:rPr>
          <w:rFonts w:ascii="Arial" w:eastAsia="Arial" w:hAnsi="Arial" w:cs="Arial"/>
          <w:i/>
          <w:vertAlign w:val="subscript"/>
        </w:rPr>
        <w:t>A</w:t>
      </w:r>
      <w:r>
        <w:rPr>
          <w:rFonts w:ascii="Arial" w:eastAsia="Arial" w:hAnsi="Arial" w:cs="Arial"/>
        </w:rPr>
        <w:t>​</w:t>
      </w:r>
      <w:r>
        <w:rPr>
          <w:rFonts w:ascii="Arial" w:eastAsia="Arial" w:hAnsi="Arial" w:cs="Arial"/>
        </w:rPr>
        <w:t xml:space="preserve"> + </w:t>
      </w:r>
      <w:r>
        <w:rPr>
          <w:rFonts w:ascii="Arial" w:eastAsia="Arial" w:hAnsi="Arial" w:cs="Arial"/>
          <w:i/>
        </w:rPr>
        <w:t>W</w:t>
      </w:r>
      <w:r>
        <w:rPr>
          <w:rFonts w:ascii="Arial" w:eastAsia="Arial" w:hAnsi="Arial" w:cs="Arial"/>
          <w:i/>
          <w:vertAlign w:val="subscript"/>
        </w:rPr>
        <w:t>B</w:t>
      </w:r>
      <w:r>
        <w:rPr>
          <w:rFonts w:ascii="Arial" w:eastAsia="Arial" w:hAnsi="Arial" w:cs="Arial"/>
        </w:rPr>
        <w:t>; the subscript “</w:t>
      </w:r>
      <w:r>
        <w:rPr>
          <w:rFonts w:ascii="Arial" w:eastAsia="Arial" w:hAnsi="Arial" w:cs="Arial"/>
          <w:i/>
        </w:rPr>
        <w:t>resp</w:t>
      </w:r>
      <w:r>
        <w:rPr>
          <w:rFonts w:ascii="Arial" w:eastAsia="Arial" w:hAnsi="Arial" w:cs="Arial"/>
        </w:rPr>
        <w:t>” indicates that orbital relaxation effects are included, and the δ</w:t>
      </w:r>
      <w:r>
        <w:rPr>
          <w:rFonts w:ascii="Arial" w:eastAsia="Arial" w:hAnsi="Arial" w:cs="Arial"/>
          <w:vertAlign w:val="subscript"/>
        </w:rPr>
        <w:t>HF</w:t>
      </w:r>
      <w:r>
        <w:rPr>
          <w:rFonts w:ascii="Arial" w:eastAsia="Arial" w:hAnsi="Arial" w:cs="Arial"/>
          <w:vertAlign w:val="superscript"/>
        </w:rPr>
        <w:t>(3)</w:t>
      </w:r>
      <w:r>
        <w:rPr>
          <w:rFonts w:ascii="Arial" w:eastAsia="Arial" w:hAnsi="Arial" w:cs="Arial"/>
        </w:rPr>
        <w:t xml:space="preserve"> term takes into account higher-order induction effects. It is computed from the Hartree–Fock supermolecular interaction energy. Regarding the basis set, we employed the larger 6-311++</w:t>
      </w:r>
      <w:r>
        <w:rPr>
          <w:rFonts w:ascii="Arial" w:eastAsia="Arial" w:hAnsi="Arial" w:cs="Arial"/>
        </w:rPr>
        <w:t>G(d,p) instead of 6-31+G(d) since the main objective of these calculations is to show a more in-depth description of the different interactions studied here. That is, we are now using a triple split-valence basis set instead of a double one, which also inc</w:t>
      </w:r>
      <w:r>
        <w:rPr>
          <w:rFonts w:ascii="Arial" w:eastAsia="Arial" w:hAnsi="Arial" w:cs="Arial"/>
        </w:rPr>
        <w:t>ludes polarization and diffuse functions not only for the heavy atoms but also for the hydrogens.</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In order to dissect the cooperative nature of each interaction and check which component plays the primary stabilizing role</w:t>
      </w:r>
      <w:hyperlink r:id="rId13">
        <w:r>
          <w:rPr>
            <w:rFonts w:ascii="Arial" w:eastAsia="Arial" w:hAnsi="Arial" w:cs="Arial"/>
            <w:vertAlign w:val="superscript"/>
          </w:rPr>
          <w:t>8,9</w:t>
        </w:r>
      </w:hyperlink>
      <w:r>
        <w:rPr>
          <w:rFonts w:ascii="Arial" w:eastAsia="Arial" w:hAnsi="Arial" w:cs="Arial"/>
        </w:rPr>
        <w:t>, SAPT calculations were carried out on the mimetic molecules of the different interactions, which maintain the same position, and therefore distance, as in the complete PPII helices. Regarding canonical CO···HN H-bonds, repr</w:t>
      </w:r>
      <w:r>
        <w:rPr>
          <w:rFonts w:ascii="Arial" w:eastAsia="Arial" w:hAnsi="Arial" w:cs="Arial"/>
        </w:rPr>
        <w:t>esented by formamide molecules, for all layer-to-layer interfaces, we observe that the attractive electrostatic (</w:t>
      </w:r>
      <w:r>
        <w:rPr>
          <w:rFonts w:ascii="Arial" w:eastAsia="Arial" w:hAnsi="Arial" w:cs="Arial"/>
          <w:b/>
        </w:rPr>
        <w:t>Table S5</w:t>
      </w:r>
      <w:r>
        <w:rPr>
          <w:rFonts w:ascii="Arial" w:eastAsia="Arial" w:hAnsi="Arial" w:cs="Arial"/>
        </w:rPr>
        <w:t xml:space="preserve"> and </w:t>
      </w:r>
      <w:r>
        <w:rPr>
          <w:rFonts w:ascii="Arial" w:eastAsia="Arial" w:hAnsi="Arial" w:cs="Arial"/>
          <w:b/>
        </w:rPr>
        <w:t>Figure S3A</w:t>
      </w:r>
      <w:r>
        <w:rPr>
          <w:rFonts w:ascii="Arial" w:eastAsia="Arial" w:hAnsi="Arial" w:cs="Arial"/>
        </w:rPr>
        <w:t>), induction (</w:t>
      </w:r>
      <w:r>
        <w:rPr>
          <w:rFonts w:ascii="Arial" w:eastAsia="Arial" w:hAnsi="Arial" w:cs="Arial"/>
          <w:b/>
        </w:rPr>
        <w:t>Table S6</w:t>
      </w:r>
      <w:r>
        <w:rPr>
          <w:rFonts w:ascii="Arial" w:eastAsia="Arial" w:hAnsi="Arial" w:cs="Arial"/>
        </w:rPr>
        <w:t xml:space="preserve"> and </w:t>
      </w:r>
      <w:r>
        <w:rPr>
          <w:rFonts w:ascii="Arial" w:eastAsia="Arial" w:hAnsi="Arial" w:cs="Arial"/>
          <w:b/>
        </w:rPr>
        <w:t>Figure S3B</w:t>
      </w:r>
      <w:r>
        <w:rPr>
          <w:rFonts w:ascii="Arial" w:eastAsia="Arial" w:hAnsi="Arial" w:cs="Arial"/>
        </w:rPr>
        <w:t>), and dispersion (</w:t>
      </w:r>
      <w:r>
        <w:rPr>
          <w:rFonts w:ascii="Arial" w:eastAsia="Arial" w:hAnsi="Arial" w:cs="Arial"/>
          <w:b/>
        </w:rPr>
        <w:t>Table S7</w:t>
      </w:r>
      <w:r>
        <w:rPr>
          <w:rFonts w:ascii="Arial" w:eastAsia="Arial" w:hAnsi="Arial" w:cs="Arial"/>
        </w:rPr>
        <w:t xml:space="preserve"> and </w:t>
      </w:r>
      <w:r>
        <w:rPr>
          <w:rFonts w:ascii="Arial" w:eastAsia="Arial" w:hAnsi="Arial" w:cs="Arial"/>
          <w:b/>
        </w:rPr>
        <w:t>Figure S3C</w:t>
      </w:r>
      <w:r>
        <w:rPr>
          <w:rFonts w:ascii="Arial" w:eastAsia="Arial" w:hAnsi="Arial" w:cs="Arial"/>
        </w:rPr>
        <w:t>) terms far exceed the repulsive exchange</w:t>
      </w:r>
      <w:r>
        <w:rPr>
          <w:rFonts w:ascii="Arial" w:eastAsia="Arial" w:hAnsi="Arial" w:cs="Arial"/>
        </w:rPr>
        <w:t xml:space="preserve"> term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al" w:eastAsia="Arial" w:hAnsi="Arial" w:cs="Arial"/>
        </w:rPr>
        <w:t>), resulting in overall negative and therefore favorable interaction energies (</w:t>
      </w:r>
      <w:r>
        <w:rPr>
          <w:rFonts w:ascii="Arial" w:eastAsia="Arial" w:hAnsi="Arial" w:cs="Arial"/>
          <w:b/>
        </w:rPr>
        <w:t>Table S9</w:t>
      </w:r>
      <w:r>
        <w:rPr>
          <w:rFonts w:ascii="Arial" w:eastAsia="Arial" w:hAnsi="Arial" w:cs="Arial"/>
        </w:rPr>
        <w:t xml:space="preserve"> and </w:t>
      </w:r>
      <w:r>
        <w:rPr>
          <w:rFonts w:ascii="Arial" w:eastAsia="Arial" w:hAnsi="Arial" w:cs="Arial"/>
          <w:b/>
        </w:rPr>
        <w:t xml:space="preserve">Figure </w:t>
      </w:r>
      <w:r>
        <w:rPr>
          <w:rFonts w:ascii="Arial" w:eastAsia="Arial" w:hAnsi="Arial" w:cs="Arial"/>
          <w:b/>
        </w:rPr>
        <w:lastRenderedPageBreak/>
        <w:t>S4B</w:t>
      </w:r>
      <w:r>
        <w:rPr>
          <w:rFonts w:ascii="Arial" w:eastAsia="Arial" w:hAnsi="Arial" w:cs="Arial"/>
        </w:rPr>
        <w:t xml:space="preserve">). Furthermore, as the number of molecule layers in the stack increases, following the scheme in </w:t>
      </w:r>
      <w:r>
        <w:rPr>
          <w:rFonts w:ascii="Arial" w:eastAsia="Arial" w:hAnsi="Arial" w:cs="Arial"/>
          <w:b/>
        </w:rPr>
        <w:t>Figure 2</w:t>
      </w:r>
      <w:r>
        <w:rPr>
          <w:rFonts w:ascii="Arial" w:eastAsia="Arial" w:hAnsi="Arial" w:cs="Arial"/>
        </w:rPr>
        <w:t xml:space="preserve"> of the main text, </w:t>
      </w:r>
      <w:r>
        <w:rPr>
          <w:rFonts w:ascii="Arial" w:eastAsia="Arial" w:hAnsi="Arial" w:cs="Arial"/>
        </w:rPr>
        <w:t>we see that the electrostatic (</w:t>
      </w:r>
      <w:r>
        <w:rPr>
          <w:rFonts w:ascii="Arial" w:eastAsia="Arial" w:hAnsi="Arial" w:cs="Arial"/>
          <w:b/>
        </w:rPr>
        <w:t>Table S5</w:t>
      </w:r>
      <w:r>
        <w:rPr>
          <w:rFonts w:ascii="Arial" w:eastAsia="Arial" w:hAnsi="Arial" w:cs="Arial"/>
        </w:rPr>
        <w:t xml:space="preserve"> and </w:t>
      </w:r>
      <w:r>
        <w:rPr>
          <w:rFonts w:ascii="Arial" w:eastAsia="Arial" w:hAnsi="Arial" w:cs="Arial"/>
          <w:b/>
        </w:rPr>
        <w:t>Figure S3A</w:t>
      </w:r>
      <w:r>
        <w:rPr>
          <w:rFonts w:ascii="Arial" w:eastAsia="Arial" w:hAnsi="Arial" w:cs="Arial"/>
        </w:rPr>
        <w:t>), induction (</w:t>
      </w:r>
      <w:r>
        <w:rPr>
          <w:rFonts w:ascii="Arial" w:eastAsia="Arial" w:hAnsi="Arial" w:cs="Arial"/>
          <w:b/>
        </w:rPr>
        <w:t>Table S6</w:t>
      </w:r>
      <w:r>
        <w:rPr>
          <w:rFonts w:ascii="Arial" w:eastAsia="Arial" w:hAnsi="Arial" w:cs="Arial"/>
        </w:rPr>
        <w:t xml:space="preserve"> and </w:t>
      </w:r>
      <w:r>
        <w:rPr>
          <w:rFonts w:ascii="Arial" w:eastAsia="Arial" w:hAnsi="Arial" w:cs="Arial"/>
          <w:b/>
        </w:rPr>
        <w:t>Figure S3B</w:t>
      </w:r>
      <w:r>
        <w:rPr>
          <w:rFonts w:ascii="Arial" w:eastAsia="Arial" w:hAnsi="Arial" w:cs="Arial"/>
        </w:rPr>
        <w:t>), and exchange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al" w:eastAsia="Arial" w:hAnsi="Arial" w:cs="Arial"/>
        </w:rPr>
        <w:t xml:space="preserve">) energy values decrease, </w:t>
      </w:r>
      <w:r>
        <w:rPr>
          <w:rFonts w:ascii="Arial" w:eastAsia="Arial" w:hAnsi="Arial" w:cs="Arial"/>
          <w:i/>
        </w:rPr>
        <w:t>i.e.</w:t>
      </w:r>
      <w:r>
        <w:rPr>
          <w:rFonts w:ascii="Arial" w:eastAsia="Arial" w:hAnsi="Arial" w:cs="Arial"/>
        </w:rPr>
        <w:t xml:space="preserve"> the total interaction energy becomes more favorable as two attractive terms strengthen and the</w:t>
      </w:r>
      <w:r>
        <w:rPr>
          <w:rFonts w:ascii="Arial" w:eastAsia="Arial" w:hAnsi="Arial" w:cs="Arial"/>
        </w:rPr>
        <w:t xml:space="preserve"> repulsive term weakens (</w:t>
      </w:r>
      <w:r>
        <w:rPr>
          <w:rFonts w:ascii="Arial" w:eastAsia="Arial" w:hAnsi="Arial" w:cs="Arial"/>
          <w:b/>
        </w:rPr>
        <w:t>Table S9</w:t>
      </w:r>
      <w:r>
        <w:rPr>
          <w:rFonts w:ascii="Arial" w:eastAsia="Arial" w:hAnsi="Arial" w:cs="Arial"/>
        </w:rPr>
        <w:t xml:space="preserve"> and </w:t>
      </w:r>
      <w:r>
        <w:rPr>
          <w:rFonts w:ascii="Arial" w:eastAsia="Arial" w:hAnsi="Arial" w:cs="Arial"/>
          <w:b/>
        </w:rPr>
        <w:t>Figure S4B</w:t>
      </w:r>
      <w:r>
        <w:rPr>
          <w:rFonts w:ascii="Arial" w:eastAsia="Arial" w:hAnsi="Arial" w:cs="Arial"/>
        </w:rPr>
        <w:t>), showing once again the cooperative nature of this H-bonding interaction. On the other hand, the values of the attractive dispersion component remain virtually unchanged across different interfaces as the s</w:t>
      </w:r>
      <w:r>
        <w:rPr>
          <w:rFonts w:ascii="Arial" w:eastAsia="Arial" w:hAnsi="Arial" w:cs="Arial"/>
        </w:rPr>
        <w:t>ize of the stack of molecules increases (</w:t>
      </w:r>
      <w:r>
        <w:rPr>
          <w:rFonts w:ascii="Arial" w:eastAsia="Arial" w:hAnsi="Arial" w:cs="Arial"/>
          <w:b/>
        </w:rPr>
        <w:t>Table S7</w:t>
      </w:r>
      <w:r>
        <w:rPr>
          <w:rFonts w:ascii="Arial" w:eastAsia="Arial" w:hAnsi="Arial" w:cs="Arial"/>
        </w:rPr>
        <w:t xml:space="preserve"> and </w:t>
      </w:r>
      <w:r>
        <w:rPr>
          <w:rFonts w:ascii="Arial" w:eastAsia="Arial" w:hAnsi="Arial" w:cs="Arial"/>
          <w:b/>
        </w:rPr>
        <w:t>Figure S3C</w:t>
      </w:r>
      <w:r>
        <w:rPr>
          <w:rFonts w:ascii="Arial Unicode MS" w:eastAsia="Arial Unicode MS" w:hAnsi="Arial Unicode MS" w:cs="Arial Unicode MS"/>
        </w:rPr>
        <w:t>). One of the best ways to understand these interactions from the point of view of the SAPT methodology is to calculate the percentage of the attractive interaction energy that each of the thr</w:t>
      </w:r>
      <w:r>
        <w:rPr>
          <w:rFonts w:ascii="Arial Unicode MS" w:eastAsia="Arial Unicode MS" w:hAnsi="Arial Unicode MS" w:cs="Arial Unicode MS"/>
        </w:rPr>
        <w:t>ee attractive components represents. In this way, for CO···HN H-bonds the electrostatic term represents ≈ 62 %; induction, ≈ 23 %, and dispersion, ≈ 15 %. The electrostatic percentage becomes even higher at every layer-to-layer interface as the formamide s</w:t>
      </w:r>
      <w:r>
        <w:rPr>
          <w:rFonts w:ascii="Arial Unicode MS" w:eastAsia="Arial Unicode MS" w:hAnsi="Arial Unicode MS" w:cs="Arial Unicode MS"/>
        </w:rPr>
        <w:t>tack grows (</w:t>
      </w:r>
      <w:r>
        <w:rPr>
          <w:rFonts w:ascii="Arial" w:eastAsia="Arial" w:hAnsi="Arial" w:cs="Arial"/>
          <w:b/>
        </w:rPr>
        <w:t>Table S5</w:t>
      </w:r>
      <w:r>
        <w:rPr>
          <w:rFonts w:ascii="Arial" w:eastAsia="Arial" w:hAnsi="Arial" w:cs="Arial"/>
        </w:rPr>
        <w:t xml:space="preserve"> and </w:t>
      </w:r>
      <w:r>
        <w:rPr>
          <w:rFonts w:ascii="Arial" w:eastAsia="Arial" w:hAnsi="Arial" w:cs="Arial"/>
          <w:b/>
        </w:rPr>
        <w:t>Figure S5</w:t>
      </w:r>
      <w:r>
        <w:rPr>
          <w:rFonts w:ascii="Arial" w:eastAsia="Arial" w:hAnsi="Arial" w:cs="Arial"/>
        </w:rPr>
        <w:t>), while the induction percentage remains almost constant (</w:t>
      </w:r>
      <w:r>
        <w:rPr>
          <w:rFonts w:ascii="Arial" w:eastAsia="Arial" w:hAnsi="Arial" w:cs="Arial"/>
          <w:b/>
        </w:rPr>
        <w:t>Table S6</w:t>
      </w:r>
      <w:r>
        <w:rPr>
          <w:rFonts w:ascii="Arial" w:eastAsia="Arial" w:hAnsi="Arial" w:cs="Arial"/>
        </w:rPr>
        <w:t xml:space="preserve"> and </w:t>
      </w:r>
      <w:r>
        <w:rPr>
          <w:rFonts w:ascii="Arial" w:eastAsia="Arial" w:hAnsi="Arial" w:cs="Arial"/>
          <w:b/>
        </w:rPr>
        <w:t>Figure S5</w:t>
      </w:r>
      <w:r>
        <w:rPr>
          <w:rFonts w:ascii="Arial" w:eastAsia="Arial" w:hAnsi="Arial" w:cs="Arial"/>
        </w:rPr>
        <w:t>) and the dispersion percentage declines (</w:t>
      </w:r>
      <w:r>
        <w:rPr>
          <w:rFonts w:ascii="Arial" w:eastAsia="Arial" w:hAnsi="Arial" w:cs="Arial"/>
          <w:b/>
        </w:rPr>
        <w:t>Table S7</w:t>
      </w:r>
      <w:r>
        <w:rPr>
          <w:rFonts w:ascii="Arial" w:eastAsia="Arial" w:hAnsi="Arial" w:cs="Arial"/>
        </w:rPr>
        <w:t xml:space="preserve"> and </w:t>
      </w:r>
      <w:r>
        <w:rPr>
          <w:rFonts w:ascii="Arial" w:eastAsia="Arial" w:hAnsi="Arial" w:cs="Arial"/>
          <w:b/>
        </w:rPr>
        <w:t>Figure S5</w:t>
      </w:r>
      <w:r>
        <w:rPr>
          <w:rFonts w:ascii="Arial" w:eastAsia="Arial" w:hAnsi="Arial" w:cs="Arial"/>
        </w:rPr>
        <w:t>).</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In relation to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H-bonds, represented by N-methylformamide molecules, the repulsive term of the interaction energy is also exceeded by the attractive ones, but with a narrower margin compared to the canonical H-bonds as expected. The electrostatic (</w:t>
      </w:r>
      <w:r>
        <w:rPr>
          <w:rFonts w:ascii="Arial" w:eastAsia="Arial" w:hAnsi="Arial" w:cs="Arial"/>
          <w:b/>
        </w:rPr>
        <w:t>Table S5</w:t>
      </w:r>
      <w:r>
        <w:rPr>
          <w:rFonts w:ascii="Arial" w:eastAsia="Arial" w:hAnsi="Arial" w:cs="Arial"/>
        </w:rPr>
        <w:t xml:space="preserve"> and </w:t>
      </w:r>
      <w:r>
        <w:rPr>
          <w:rFonts w:ascii="Arial" w:eastAsia="Arial" w:hAnsi="Arial" w:cs="Arial"/>
          <w:b/>
        </w:rPr>
        <w:t>F</w:t>
      </w:r>
      <w:r>
        <w:rPr>
          <w:rFonts w:ascii="Arial" w:eastAsia="Arial" w:hAnsi="Arial" w:cs="Arial"/>
          <w:b/>
        </w:rPr>
        <w:t>igure S3A</w:t>
      </w:r>
      <w:r>
        <w:rPr>
          <w:rFonts w:ascii="Arial" w:eastAsia="Arial" w:hAnsi="Arial" w:cs="Arial"/>
        </w:rPr>
        <w:t>) and induction (</w:t>
      </w:r>
      <w:r>
        <w:rPr>
          <w:rFonts w:ascii="Arial" w:eastAsia="Arial" w:hAnsi="Arial" w:cs="Arial"/>
          <w:b/>
        </w:rPr>
        <w:t>Table S6</w:t>
      </w:r>
      <w:r>
        <w:rPr>
          <w:rFonts w:ascii="Arial" w:eastAsia="Arial" w:hAnsi="Arial" w:cs="Arial"/>
        </w:rPr>
        <w:t xml:space="preserve"> and </w:t>
      </w:r>
      <w:r>
        <w:rPr>
          <w:rFonts w:ascii="Arial" w:eastAsia="Arial" w:hAnsi="Arial" w:cs="Arial"/>
          <w:b/>
        </w:rPr>
        <w:t>Figure S3B</w:t>
      </w:r>
      <w:r>
        <w:rPr>
          <w:rFonts w:ascii="Arial" w:eastAsia="Arial" w:hAnsi="Arial" w:cs="Arial"/>
        </w:rPr>
        <w:t>) energy values also decrease like in the previous case as layers of molecules are added to the stack, with a gentler slope, but still making this interaction stronger (</w:t>
      </w:r>
      <w:r>
        <w:rPr>
          <w:rFonts w:ascii="Arial" w:eastAsia="Arial" w:hAnsi="Arial" w:cs="Arial"/>
          <w:b/>
        </w:rPr>
        <w:t>Table S9</w:t>
      </w:r>
      <w:r>
        <w:rPr>
          <w:rFonts w:ascii="Arial" w:eastAsia="Arial" w:hAnsi="Arial" w:cs="Arial"/>
        </w:rPr>
        <w:t xml:space="preserve"> and </w:t>
      </w:r>
      <w:r>
        <w:rPr>
          <w:rFonts w:ascii="Arial" w:eastAsia="Arial" w:hAnsi="Arial" w:cs="Arial"/>
          <w:b/>
        </w:rPr>
        <w:t>Figure S4B</w:t>
      </w:r>
      <w:r>
        <w:rPr>
          <w:rFonts w:ascii="Arial" w:eastAsia="Arial" w:hAnsi="Arial" w:cs="Arial"/>
        </w:rPr>
        <w:t>) even consider</w:t>
      </w:r>
      <w:r>
        <w:rPr>
          <w:rFonts w:ascii="Arial" w:eastAsia="Arial" w:hAnsi="Arial" w:cs="Arial"/>
        </w:rPr>
        <w:t>ing that the dispersion (</w:t>
      </w:r>
      <w:r>
        <w:rPr>
          <w:rFonts w:ascii="Arial" w:eastAsia="Arial" w:hAnsi="Arial" w:cs="Arial"/>
          <w:b/>
        </w:rPr>
        <w:t>Table S7</w:t>
      </w:r>
      <w:r>
        <w:rPr>
          <w:rFonts w:ascii="Arial" w:eastAsia="Arial" w:hAnsi="Arial" w:cs="Arial"/>
        </w:rPr>
        <w:t xml:space="preserve"> and </w:t>
      </w:r>
      <w:r>
        <w:rPr>
          <w:rFonts w:ascii="Arial" w:eastAsia="Arial" w:hAnsi="Arial" w:cs="Arial"/>
          <w:b/>
        </w:rPr>
        <w:t>Figure S3C</w:t>
      </w:r>
      <w:r>
        <w:rPr>
          <w:rFonts w:ascii="Arial" w:eastAsia="Arial" w:hAnsi="Arial" w:cs="Arial"/>
        </w:rPr>
        <w:t>) and exchange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al" w:eastAsia="Arial" w:hAnsi="Arial" w:cs="Arial"/>
        </w:rPr>
        <w:t>) components experience just a little change this time. For these non-canonical</w:t>
      </w:r>
      <w:r>
        <w:rPr>
          <w:rFonts w:ascii="Arial Unicode MS" w:eastAsia="Arial Unicode MS" w:hAnsi="Arial Unicode MS" w:cs="Arial Unicode MS"/>
        </w:rPr>
        <w:t xml:space="preserve"> proximal H-bonds, the electrostatic term represents ≈ 55 %; induction ≈ 16 %, and dispers</w:t>
      </w:r>
      <w:r>
        <w:rPr>
          <w:rFonts w:ascii="Arial Unicode MS" w:eastAsia="Arial Unicode MS" w:hAnsi="Arial Unicode MS" w:cs="Arial Unicode MS"/>
        </w:rPr>
        <w:t xml:space="preserve">ion ≈ 29 %. Therefore, while it is true that for this type of interactions the main attractive component of the interaction energy </w:t>
      </w:r>
      <w:r>
        <w:rPr>
          <w:rFonts w:ascii="Arial Unicode MS" w:eastAsia="Arial Unicode MS" w:hAnsi="Arial Unicode MS" w:cs="Arial Unicode MS"/>
        </w:rPr>
        <w:lastRenderedPageBreak/>
        <w:t xml:space="preserve">is still by far the electrostatic one, it has lost some importance along with induction versus dispersion. compared to the </w:t>
      </w:r>
      <w:r>
        <w:rPr>
          <w:rFonts w:ascii="Arial" w:eastAsia="Arial" w:hAnsi="Arial" w:cs="Arial"/>
        </w:rPr>
        <w:t>ca</w:t>
      </w:r>
      <w:r>
        <w:rPr>
          <w:rFonts w:ascii="Arial" w:eastAsia="Arial" w:hAnsi="Arial" w:cs="Arial"/>
        </w:rPr>
        <w:t xml:space="preserve">nonical </w:t>
      </w:r>
      <w:r>
        <w:rPr>
          <w:rFonts w:ascii="Arimo" w:eastAsia="Arimo" w:hAnsi="Arimo" w:cs="Arimo"/>
        </w:rPr>
        <w:t>H-bonds. However, the trend of the percentage of the attractive components of the interaction energy at every layer-to-layer interface when the acetaldehyde stack grows is the same: the electrostatic component increases (</w:t>
      </w:r>
      <w:r>
        <w:rPr>
          <w:rFonts w:ascii="Arial" w:eastAsia="Arial" w:hAnsi="Arial" w:cs="Arial"/>
          <w:b/>
        </w:rPr>
        <w:t>Table S5</w:t>
      </w:r>
      <w:r>
        <w:rPr>
          <w:rFonts w:ascii="Arial" w:eastAsia="Arial" w:hAnsi="Arial" w:cs="Arial"/>
        </w:rPr>
        <w:t xml:space="preserve"> and </w:t>
      </w:r>
      <w:r>
        <w:rPr>
          <w:rFonts w:ascii="Arial" w:eastAsia="Arial" w:hAnsi="Arial" w:cs="Arial"/>
          <w:b/>
        </w:rPr>
        <w:t>Figure S8</w:t>
      </w:r>
      <w:r>
        <w:rPr>
          <w:rFonts w:ascii="Arial" w:eastAsia="Arial" w:hAnsi="Arial" w:cs="Arial"/>
        </w:rPr>
        <w:t>), th</w:t>
      </w:r>
      <w:r>
        <w:rPr>
          <w:rFonts w:ascii="Arial" w:eastAsia="Arial" w:hAnsi="Arial" w:cs="Arial"/>
        </w:rPr>
        <w:t>e induction remains almost constant (</w:t>
      </w:r>
      <w:r>
        <w:rPr>
          <w:rFonts w:ascii="Arial" w:eastAsia="Arial" w:hAnsi="Arial" w:cs="Arial"/>
          <w:b/>
        </w:rPr>
        <w:t>Table S6</w:t>
      </w:r>
      <w:r>
        <w:rPr>
          <w:rFonts w:ascii="Arial" w:eastAsia="Arial" w:hAnsi="Arial" w:cs="Arial"/>
        </w:rPr>
        <w:t xml:space="preserve"> and </w:t>
      </w:r>
      <w:r>
        <w:rPr>
          <w:rFonts w:ascii="Arial" w:eastAsia="Arial" w:hAnsi="Arial" w:cs="Arial"/>
          <w:b/>
        </w:rPr>
        <w:t>Figure S8</w:t>
      </w:r>
      <w:r>
        <w:rPr>
          <w:rFonts w:ascii="Arial" w:eastAsia="Arial" w:hAnsi="Arial" w:cs="Arial"/>
        </w:rPr>
        <w:t>) and the dispersion decreases (</w:t>
      </w:r>
      <w:r>
        <w:rPr>
          <w:rFonts w:ascii="Arial" w:eastAsia="Arial" w:hAnsi="Arial" w:cs="Arial"/>
          <w:b/>
        </w:rPr>
        <w:t>Table S7</w:t>
      </w:r>
      <w:r>
        <w:rPr>
          <w:rFonts w:ascii="Arial" w:eastAsia="Arial" w:hAnsi="Arial" w:cs="Arial"/>
        </w:rPr>
        <w:t xml:space="preserve"> and </w:t>
      </w:r>
      <w:r>
        <w:rPr>
          <w:rFonts w:ascii="Arial" w:eastAsia="Arial" w:hAnsi="Arial" w:cs="Arial"/>
          <w:b/>
        </w:rPr>
        <w:t>Figure S8</w:t>
      </w:r>
      <w:r>
        <w:rPr>
          <w:rFonts w:ascii="Arial" w:eastAsia="Arial" w:hAnsi="Arial" w:cs="Arial"/>
        </w:rPr>
        <w:t>), what although in a less pronounced way, also reveals the cooperative nature of this H-bonding interaction.</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With respect to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w:t>
      </w:r>
      <w:r>
        <w:rPr>
          <w:rFonts w:ascii="Arial" w:eastAsia="Arial" w:hAnsi="Arial" w:cs="Arial"/>
        </w:rPr>
        <w:t>stal H-bonds, represented by acetaldehyde molecules, it is necessary to indicate, as was done in the main text, that although this interaction takes place only in one of the three turns of each of the antiparallel PPII helices of the computational model, t</w:t>
      </w:r>
      <w:r>
        <w:rPr>
          <w:rFonts w:ascii="Arial" w:eastAsia="Arial" w:hAnsi="Arial" w:cs="Arial"/>
        </w:rPr>
        <w:t>he corresponding interaction energy has been averaged since the objective of this section is to calculate the mean contribution, i.e. per turn, to the total interaction energy between complete, antiparallel PPII helices. The attractive components of the in</w:t>
      </w:r>
      <w:r>
        <w:rPr>
          <w:rFonts w:ascii="Arial" w:eastAsia="Arial" w:hAnsi="Arial" w:cs="Arial"/>
        </w:rPr>
        <w:t>teraction energy once again surpass the repulsive ones, although with lower total interaction energy values compared to the analogous, more favorable non-canonical proximal H-bonds, as anticipated. When layers of acetaldehyde molecules are added to the sta</w:t>
      </w:r>
      <w:r>
        <w:rPr>
          <w:rFonts w:ascii="Arial" w:eastAsia="Arial" w:hAnsi="Arial" w:cs="Arial"/>
        </w:rPr>
        <w:t>ck, their electrostatic (</w:t>
      </w:r>
      <w:r>
        <w:rPr>
          <w:rFonts w:ascii="Arial" w:eastAsia="Arial" w:hAnsi="Arial" w:cs="Arial"/>
          <w:b/>
        </w:rPr>
        <w:t>Table S5</w:t>
      </w:r>
      <w:r>
        <w:rPr>
          <w:rFonts w:ascii="Arial" w:eastAsia="Arial" w:hAnsi="Arial" w:cs="Arial"/>
        </w:rPr>
        <w:t xml:space="preserve"> and </w:t>
      </w:r>
      <w:r>
        <w:rPr>
          <w:rFonts w:ascii="Arial" w:eastAsia="Arial" w:hAnsi="Arial" w:cs="Arial"/>
          <w:b/>
        </w:rPr>
        <w:t>Figure S3A</w:t>
      </w:r>
      <w:r>
        <w:rPr>
          <w:rFonts w:ascii="Arial" w:eastAsia="Arial" w:hAnsi="Arial" w:cs="Arial"/>
        </w:rPr>
        <w:t>) and induction (</w:t>
      </w:r>
      <w:r>
        <w:rPr>
          <w:rFonts w:ascii="Arial" w:eastAsia="Arial" w:hAnsi="Arial" w:cs="Arial"/>
          <w:b/>
        </w:rPr>
        <w:t>Table S6</w:t>
      </w:r>
      <w:r>
        <w:rPr>
          <w:rFonts w:ascii="Arial" w:eastAsia="Arial" w:hAnsi="Arial" w:cs="Arial"/>
        </w:rPr>
        <w:t xml:space="preserve"> and </w:t>
      </w:r>
      <w:r>
        <w:rPr>
          <w:rFonts w:ascii="Arial" w:eastAsia="Arial" w:hAnsi="Arial" w:cs="Arial"/>
          <w:b/>
        </w:rPr>
        <w:t>Figure S3B</w:t>
      </w:r>
      <w:r>
        <w:rPr>
          <w:rFonts w:ascii="Arial" w:eastAsia="Arial" w:hAnsi="Arial" w:cs="Arial"/>
        </w:rPr>
        <w:t>) components also decrease, while dispersion (</w:t>
      </w:r>
      <w:r>
        <w:rPr>
          <w:rFonts w:ascii="Arial" w:eastAsia="Arial" w:hAnsi="Arial" w:cs="Arial"/>
          <w:b/>
        </w:rPr>
        <w:t>Table S7</w:t>
      </w:r>
      <w:r>
        <w:rPr>
          <w:rFonts w:ascii="Arial" w:eastAsia="Arial" w:hAnsi="Arial" w:cs="Arial"/>
        </w:rPr>
        <w:t xml:space="preserve"> and </w:t>
      </w:r>
      <w:r>
        <w:rPr>
          <w:rFonts w:ascii="Arial" w:eastAsia="Arial" w:hAnsi="Arial" w:cs="Arial"/>
          <w:b/>
        </w:rPr>
        <w:t>Figure S5</w:t>
      </w:r>
      <w:r>
        <w:rPr>
          <w:rFonts w:ascii="Arial" w:eastAsia="Arial" w:hAnsi="Arial" w:cs="Arial"/>
        </w:rPr>
        <w:t>) and the exchange repulsive component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al" w:eastAsia="Arial" w:hAnsi="Arial" w:cs="Arial"/>
        </w:rPr>
        <w:t>) display almost no variation as well</w:t>
      </w:r>
      <w:r>
        <w:rPr>
          <w:rFonts w:ascii="Arial" w:eastAsia="Arial" w:hAnsi="Arial" w:cs="Arial"/>
        </w:rPr>
        <w:t>. The global result is the total interaction energy (</w:t>
      </w:r>
      <w:r>
        <w:rPr>
          <w:rFonts w:ascii="Arial" w:eastAsia="Arial" w:hAnsi="Arial" w:cs="Arial"/>
          <w:b/>
        </w:rPr>
        <w:t>Table S9</w:t>
      </w:r>
      <w:r>
        <w:rPr>
          <w:rFonts w:ascii="Arial" w:eastAsia="Arial" w:hAnsi="Arial" w:cs="Arial"/>
        </w:rPr>
        <w:t xml:space="preserve"> and </w:t>
      </w:r>
      <w:r>
        <w:rPr>
          <w:rFonts w:ascii="Arial" w:eastAsia="Arial" w:hAnsi="Arial" w:cs="Arial"/>
          <w:b/>
        </w:rPr>
        <w:t>Figure S4B</w:t>
      </w:r>
      <w:r>
        <w:rPr>
          <w:rFonts w:ascii="Arial" w:eastAsia="Arial" w:hAnsi="Arial" w:cs="Arial"/>
        </w:rPr>
        <w:t xml:space="preserve">) becomes stronger. This could be interpreted as cooperativity, like in both of the previous cases even if these non-canonical distal H-bonds are found within an energy range that </w:t>
      </w:r>
      <w:r>
        <w:rPr>
          <w:rFonts w:ascii="Arial" w:eastAsia="Arial" w:hAnsi="Arial" w:cs="Arial"/>
        </w:rPr>
        <w:t>corresponds to weak interactions. The reader should remember that the energy value of this interaction taking place in only one of the three turns of the full-length PPII helices of the computational model has been averaged over the three existing ones, so</w:t>
      </w:r>
      <w:r>
        <w:rPr>
          <w:rFonts w:ascii="Arial" w:eastAsia="Arial" w:hAnsi="Arial" w:cs="Arial"/>
        </w:rPr>
        <w:t xml:space="preserve"> these lower interaction energy values ​​do not fall within the error of the method. Nevertheless, as explained through the rest of the computational methods of this study,</w:t>
      </w:r>
      <w:r>
        <w:rPr>
          <w:rFonts w:ascii="Arial" w:eastAsia="Arial" w:hAnsi="Arial" w:cs="Arial"/>
          <w:b/>
        </w:rPr>
        <w:t xml:space="preserve"> </w:t>
      </w:r>
      <w:r>
        <w:rPr>
          <w:rFonts w:ascii="Arial" w:eastAsia="Arial" w:hAnsi="Arial" w:cs="Arial"/>
        </w:rPr>
        <w:t>it is necessary to combine the atoms of the molecules that represent both the CO···</w:t>
      </w:r>
      <w:r>
        <w:rPr>
          <w:rFonts w:ascii="Arial" w:eastAsia="Arial" w:hAnsi="Arial" w:cs="Arial"/>
        </w:rPr>
        <w:t>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H-bonds with those of the molecules that represent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because of the common C</w:t>
      </w:r>
      <w:r>
        <w:rPr>
          <w:rFonts w:ascii="Arial" w:eastAsia="Arial" w:hAnsi="Arial" w:cs="Arial"/>
          <w:vertAlign w:val="subscript"/>
        </w:rPr>
        <w:t>α</w:t>
      </w:r>
      <w:r>
        <w:rPr>
          <w:rFonts w:ascii="Arial" w:eastAsia="Arial" w:hAnsi="Arial" w:cs="Arial"/>
        </w:rPr>
        <w:t xml:space="preserve">, resulting in N-(2-oxoethyl)formamide to accurately represent these H-bonding interactions. In this way, </w:t>
      </w:r>
      <w:r>
        <w:rPr>
          <w:rFonts w:ascii="Arial" w:eastAsia="Arial" w:hAnsi="Arial" w:cs="Arial"/>
        </w:rPr>
        <w:lastRenderedPageBreak/>
        <w:t>the attractive components (</w:t>
      </w:r>
      <w:r>
        <w:rPr>
          <w:rFonts w:ascii="Arial" w:eastAsia="Arial" w:hAnsi="Arial" w:cs="Arial"/>
          <w:b/>
        </w:rPr>
        <w:t>Table S5</w:t>
      </w:r>
      <w:r>
        <w:rPr>
          <w:rFonts w:ascii="Arial" w:eastAsia="Arial" w:hAnsi="Arial" w:cs="Arial"/>
        </w:rPr>
        <w:t>,</w:t>
      </w:r>
      <w:r>
        <w:rPr>
          <w:rFonts w:ascii="Arial" w:eastAsia="Arial" w:hAnsi="Arial" w:cs="Arial"/>
          <w:b/>
        </w:rPr>
        <w:t xml:space="preserve"> S6 </w:t>
      </w:r>
      <w:r>
        <w:rPr>
          <w:rFonts w:ascii="Arial" w:eastAsia="Arial" w:hAnsi="Arial" w:cs="Arial"/>
        </w:rPr>
        <w:t>and</w:t>
      </w:r>
      <w:r>
        <w:rPr>
          <w:rFonts w:ascii="Arial" w:eastAsia="Arial" w:hAnsi="Arial" w:cs="Arial"/>
          <w:b/>
        </w:rPr>
        <w:t xml:space="preserve"> S7</w:t>
      </w:r>
      <w:r>
        <w:rPr>
          <w:rFonts w:ascii="Arial" w:eastAsia="Arial" w:hAnsi="Arial" w:cs="Arial"/>
        </w:rPr>
        <w:t xml:space="preserve"> and </w:t>
      </w:r>
      <w:r>
        <w:rPr>
          <w:rFonts w:ascii="Arial" w:eastAsia="Arial" w:hAnsi="Arial" w:cs="Arial"/>
          <w:b/>
        </w:rPr>
        <w:t>Figure S3</w:t>
      </w:r>
      <w:r>
        <w:rPr>
          <w:rFonts w:ascii="Arial" w:eastAsia="Arial" w:hAnsi="Arial" w:cs="Arial"/>
        </w:rPr>
        <w:t>) of the interaction energy now far outweigh the repulsive one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al" w:eastAsia="Arial" w:hAnsi="Arial" w:cs="Arial"/>
        </w:rPr>
        <w:t>), resulting in total interaction energies that are truly considerable (</w:t>
      </w:r>
      <w:r>
        <w:rPr>
          <w:rFonts w:ascii="Arial" w:eastAsia="Arial" w:hAnsi="Arial" w:cs="Arial"/>
          <w:b/>
        </w:rPr>
        <w:t>Table S9</w:t>
      </w:r>
      <w:r>
        <w:rPr>
          <w:rFonts w:ascii="Arial" w:eastAsia="Arial" w:hAnsi="Arial" w:cs="Arial"/>
        </w:rPr>
        <w:t xml:space="preserve"> and </w:t>
      </w:r>
      <w:r>
        <w:rPr>
          <w:rFonts w:ascii="Arial" w:eastAsia="Arial" w:hAnsi="Arial" w:cs="Arial"/>
          <w:b/>
        </w:rPr>
        <w:t>Figure S4B</w:t>
      </w:r>
      <w:r>
        <w:rPr>
          <w:rFonts w:ascii="Arial" w:eastAsia="Arial" w:hAnsi="Arial" w:cs="Arial"/>
        </w:rPr>
        <w:t>), and stronger than the result of adding</w:t>
      </w:r>
      <w:r>
        <w:rPr>
          <w:rFonts w:ascii="Arial" w:eastAsia="Arial" w:hAnsi="Arial" w:cs="Arial"/>
        </w:rPr>
        <w:t xml:space="preserve"> the values of the different components of both interactions, the proximal and the distal H-bonds, separately (</w:t>
      </w:r>
      <w:r>
        <w:rPr>
          <w:rFonts w:ascii="Arial" w:eastAsia="Arial" w:hAnsi="Arial" w:cs="Arial"/>
          <w:b/>
        </w:rPr>
        <w:t>Table S5</w:t>
      </w:r>
      <w:r>
        <w:rPr>
          <w:rFonts w:ascii="Arial" w:eastAsia="Arial" w:hAnsi="Arial" w:cs="Arial"/>
        </w:rPr>
        <w:t>,</w:t>
      </w:r>
      <w:r>
        <w:rPr>
          <w:rFonts w:ascii="Arial" w:eastAsia="Arial" w:hAnsi="Arial" w:cs="Arial"/>
          <w:b/>
        </w:rPr>
        <w:t xml:space="preserve"> Table S6</w:t>
      </w:r>
      <w:r>
        <w:rPr>
          <w:rFonts w:ascii="Arial" w:eastAsia="Arial" w:hAnsi="Arial" w:cs="Arial"/>
        </w:rPr>
        <w:t>,</w:t>
      </w:r>
      <w:r>
        <w:rPr>
          <w:rFonts w:ascii="Arial" w:eastAsia="Arial" w:hAnsi="Arial" w:cs="Arial"/>
          <w:b/>
        </w:rPr>
        <w:t xml:space="preserve"> Table S7</w:t>
      </w:r>
      <w:r>
        <w:rPr>
          <w:rFonts w:ascii="Arial" w:eastAsia="Arial" w:hAnsi="Arial" w:cs="Arial"/>
        </w:rPr>
        <w:t xml:space="preserve">, </w:t>
      </w:r>
      <w:r>
        <w:rPr>
          <w:rFonts w:ascii="Arial" w:eastAsia="Arial" w:hAnsi="Arial" w:cs="Arial"/>
          <w:b/>
        </w:rPr>
        <w:t>Table</w:t>
      </w:r>
      <w:r>
        <w:rPr>
          <w:rFonts w:ascii="Arial" w:eastAsia="Arial" w:hAnsi="Arial" w:cs="Arial"/>
        </w:rPr>
        <w:t xml:space="preserve"> </w:t>
      </w:r>
      <w:r>
        <w:rPr>
          <w:rFonts w:ascii="Arial" w:eastAsia="Arial" w:hAnsi="Arial" w:cs="Arial"/>
          <w:b/>
        </w:rPr>
        <w:t>S8</w:t>
      </w:r>
      <w:r>
        <w:rPr>
          <w:rFonts w:ascii="Arial" w:eastAsia="Arial" w:hAnsi="Arial" w:cs="Arial"/>
        </w:rPr>
        <w:t xml:space="preserve">, </w:t>
      </w:r>
      <w:r>
        <w:rPr>
          <w:rFonts w:ascii="Arial" w:eastAsia="Arial" w:hAnsi="Arial" w:cs="Arial"/>
          <w:b/>
        </w:rPr>
        <w:t>Table</w:t>
      </w:r>
      <w:r>
        <w:rPr>
          <w:rFonts w:ascii="Arial" w:eastAsia="Arial" w:hAnsi="Arial" w:cs="Arial"/>
        </w:rPr>
        <w:t xml:space="preserve"> </w:t>
      </w:r>
      <w:r>
        <w:rPr>
          <w:rFonts w:ascii="Arial" w:eastAsia="Arial" w:hAnsi="Arial" w:cs="Arial"/>
          <w:b/>
        </w:rPr>
        <w:t xml:space="preserve">S9 </w:t>
      </w:r>
      <w:r>
        <w:rPr>
          <w:rFonts w:ascii="Arial" w:eastAsia="Arial" w:hAnsi="Arial" w:cs="Arial"/>
        </w:rPr>
        <w:t xml:space="preserve">and </w:t>
      </w:r>
      <w:r>
        <w:rPr>
          <w:rFonts w:ascii="Arial" w:eastAsia="Arial" w:hAnsi="Arial" w:cs="Arial"/>
          <w:b/>
        </w:rPr>
        <w:t>Figure S3</w:t>
      </w:r>
      <w:r>
        <w:rPr>
          <w:rFonts w:ascii="Arial" w:eastAsia="Arial" w:hAnsi="Arial" w:cs="Arial"/>
        </w:rPr>
        <w:t>,</w:t>
      </w:r>
      <w:r>
        <w:rPr>
          <w:rFonts w:ascii="Arial" w:eastAsia="Arial" w:hAnsi="Arial" w:cs="Arial"/>
          <w:b/>
        </w:rPr>
        <w:t xml:space="preserve"> Figure S4</w:t>
      </w:r>
      <w:r>
        <w:rPr>
          <w:rFonts w:ascii="Arial" w:eastAsia="Arial" w:hAnsi="Arial" w:cs="Arial"/>
        </w:rPr>
        <w:t xml:space="preserve">). When N-(2-oxoethyl)formamide molecule layers are added to the stack, </w:t>
      </w:r>
      <w:r>
        <w:rPr>
          <w:rFonts w:ascii="Arial" w:eastAsia="Arial" w:hAnsi="Arial" w:cs="Arial"/>
        </w:rPr>
        <w:t>the electrostatic (</w:t>
      </w:r>
      <w:r>
        <w:rPr>
          <w:rFonts w:ascii="Arial" w:eastAsia="Arial" w:hAnsi="Arial" w:cs="Arial"/>
          <w:b/>
        </w:rPr>
        <w:t>Table S5</w:t>
      </w:r>
      <w:r>
        <w:rPr>
          <w:rFonts w:ascii="Arial" w:eastAsia="Arial" w:hAnsi="Arial" w:cs="Arial"/>
        </w:rPr>
        <w:t xml:space="preserve"> and </w:t>
      </w:r>
      <w:r>
        <w:rPr>
          <w:rFonts w:ascii="Arial" w:eastAsia="Arial" w:hAnsi="Arial" w:cs="Arial"/>
          <w:b/>
        </w:rPr>
        <w:t>Figure S3A</w:t>
      </w:r>
      <w:r>
        <w:rPr>
          <w:rFonts w:ascii="Arial" w:eastAsia="Arial" w:hAnsi="Arial" w:cs="Arial"/>
        </w:rPr>
        <w:t>) and induction (</w:t>
      </w:r>
      <w:r>
        <w:rPr>
          <w:rFonts w:ascii="Arial" w:eastAsia="Arial" w:hAnsi="Arial" w:cs="Arial"/>
          <w:b/>
        </w:rPr>
        <w:t>Table S6</w:t>
      </w:r>
      <w:r>
        <w:rPr>
          <w:rFonts w:ascii="Arial" w:eastAsia="Arial" w:hAnsi="Arial" w:cs="Arial"/>
        </w:rPr>
        <w:t xml:space="preserve"> and </w:t>
      </w:r>
      <w:r>
        <w:rPr>
          <w:rFonts w:ascii="Arial" w:eastAsia="Arial" w:hAnsi="Arial" w:cs="Arial"/>
          <w:b/>
        </w:rPr>
        <w:t>Figure S3B</w:t>
      </w:r>
      <w:r>
        <w:rPr>
          <w:rFonts w:ascii="Arial" w:eastAsia="Arial" w:hAnsi="Arial" w:cs="Arial"/>
        </w:rPr>
        <w:t>) components diminish, dispersion (</w:t>
      </w:r>
      <w:r>
        <w:rPr>
          <w:rFonts w:ascii="Arial" w:eastAsia="Arial" w:hAnsi="Arial" w:cs="Arial"/>
          <w:b/>
        </w:rPr>
        <w:t>Table S7</w:t>
      </w:r>
      <w:r>
        <w:rPr>
          <w:rFonts w:ascii="Arial" w:eastAsia="Arial" w:hAnsi="Arial" w:cs="Arial"/>
        </w:rPr>
        <w:t xml:space="preserve"> and </w:t>
      </w:r>
      <w:r>
        <w:rPr>
          <w:rFonts w:ascii="Arial" w:eastAsia="Arial" w:hAnsi="Arial" w:cs="Arial"/>
          <w:b/>
        </w:rPr>
        <w:t>Figure S5</w:t>
      </w:r>
      <w:r>
        <w:rPr>
          <w:rFonts w:ascii="Arial" w:eastAsia="Arial" w:hAnsi="Arial" w:cs="Arial"/>
        </w:rPr>
        <w:t>) shows practically no variation and on this occasion the exchange component (</w:t>
      </w:r>
      <w:r>
        <w:rPr>
          <w:rFonts w:ascii="Arial" w:eastAsia="Arial" w:hAnsi="Arial" w:cs="Arial"/>
          <w:b/>
        </w:rPr>
        <w:t>Table S8</w:t>
      </w:r>
      <w:r>
        <w:rPr>
          <w:rFonts w:ascii="Arial" w:eastAsia="Arial" w:hAnsi="Arial" w:cs="Arial"/>
        </w:rPr>
        <w:t xml:space="preserve"> and </w:t>
      </w:r>
      <w:r>
        <w:rPr>
          <w:rFonts w:ascii="Arial" w:eastAsia="Arial" w:hAnsi="Arial" w:cs="Arial"/>
          <w:b/>
        </w:rPr>
        <w:t>Figure S4A</w:t>
      </w:r>
      <w:r>
        <w:rPr>
          <w:rFonts w:ascii="Arimo" w:eastAsia="Arimo" w:hAnsi="Arimo" w:cs="Arimo"/>
        </w:rPr>
        <w:t xml:space="preserve">) increases, </w:t>
      </w:r>
      <w:r>
        <w:rPr>
          <w:rFonts w:ascii="Arial" w:eastAsia="Arial" w:hAnsi="Arial" w:cs="Arial"/>
        </w:rPr>
        <w:t>rev</w:t>
      </w:r>
      <w:r>
        <w:rPr>
          <w:rFonts w:ascii="Arial" w:eastAsia="Arial" w:hAnsi="Arial" w:cs="Arial"/>
        </w:rPr>
        <w:t>ealing the cooperative nature of these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H-bonding interaction taken as a whole. As previously shown by the NBO analysis of the main text and the QTAIM of the supplementary material this cooperativity arises from the proximal </w:t>
      </w:r>
      <w:r>
        <w:rPr>
          <w:rFonts w:ascii="Arial" w:eastAsia="Arial" w:hAnsi="Arial" w:cs="Arial"/>
        </w:rPr>
        <w:t xml:space="preserve">non-canonical H-bonds and not the distal ones. The </w:t>
      </w:r>
      <w:r>
        <w:rPr>
          <w:rFonts w:ascii="Arimo" w:eastAsia="Arimo" w:hAnsi="Arimo" w:cs="Arimo"/>
        </w:rPr>
        <w:t xml:space="preserve">electrostatic term for the isolated </w:t>
      </w: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w:t>
      </w:r>
      <w:r>
        <w:rPr>
          <w:rFonts w:ascii="Arimo" w:eastAsia="Arimo" w:hAnsi="Arimo" w:cs="Arimo"/>
        </w:rPr>
        <w:t xml:space="preserve"> represents</w:t>
      </w:r>
      <w:r>
        <w:rPr>
          <w:rFonts w:ascii="Arial Unicode MS" w:eastAsia="Arial Unicode MS" w:hAnsi="Arial Unicode MS" w:cs="Arial Unicode MS"/>
        </w:rPr>
        <w:t xml:space="preserve"> ≈ 49 %; induction, ≈ 13 %, and dispersion, ≈ 38 % of the total attractive energy. When considering </w:t>
      </w: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the </w:t>
      </w:r>
      <w:r>
        <w:rPr>
          <w:rFonts w:ascii="Arimo" w:eastAsia="Arimo" w:hAnsi="Arimo" w:cs="Arimo"/>
        </w:rPr>
        <w:t>electrostatic term represents</w:t>
      </w:r>
      <w:r>
        <w:rPr>
          <w:rFonts w:ascii="Arial Unicode MS" w:eastAsia="Arial Unicode MS" w:hAnsi="Arial Unicode MS" w:cs="Arial Unicode MS"/>
        </w:rPr>
        <w:t xml:space="preserve"> ≈ 51 %, induction ≈ 15 %, and dispersion ≈ 34 % of the total attractive energy, which is midway </w:t>
      </w:r>
      <w:r>
        <w:rPr>
          <w:rFonts w:ascii="Arimo" w:eastAsia="Arimo" w:hAnsi="Arimo" w:cs="Arimo"/>
        </w:rPr>
        <w:t xml:space="preserve">between the </w:t>
      </w:r>
      <w:r>
        <w:rPr>
          <w:rFonts w:ascii="Arial" w:eastAsia="Arial" w:hAnsi="Arial" w:cs="Arial"/>
        </w:rPr>
        <w:t>proximal non-canonical H-bonds and the distal ones</w:t>
      </w:r>
      <w:r>
        <w:rPr>
          <w:rFonts w:ascii="Arimo" w:eastAsia="Arimo" w:hAnsi="Arimo" w:cs="Arimo"/>
        </w:rPr>
        <w:t>. In both cases, the electrostatic per</w:t>
      </w:r>
      <w:r>
        <w:rPr>
          <w:rFonts w:ascii="Arimo" w:eastAsia="Arimo" w:hAnsi="Arimo" w:cs="Arimo"/>
        </w:rPr>
        <w:t>centage of the attractive energy increases across all interfaces as the molecular stack expands (</w:t>
      </w:r>
      <w:r>
        <w:rPr>
          <w:rFonts w:ascii="Arial" w:eastAsia="Arial" w:hAnsi="Arial" w:cs="Arial"/>
          <w:b/>
        </w:rPr>
        <w:t>Table S5</w:t>
      </w:r>
      <w:r>
        <w:rPr>
          <w:rFonts w:ascii="Arial" w:eastAsia="Arial" w:hAnsi="Arial" w:cs="Arial"/>
        </w:rPr>
        <w:t xml:space="preserve"> and </w:t>
      </w:r>
      <w:r>
        <w:rPr>
          <w:rFonts w:ascii="Arial" w:eastAsia="Arial" w:hAnsi="Arial" w:cs="Arial"/>
          <w:b/>
        </w:rPr>
        <w:t>Figure S10</w:t>
      </w:r>
      <w:r>
        <w:rPr>
          <w:rFonts w:ascii="Arial" w:eastAsia="Arial" w:hAnsi="Arial" w:cs="Arial"/>
        </w:rPr>
        <w:t>), the induction percentage barely changes (</w:t>
      </w:r>
      <w:r>
        <w:rPr>
          <w:rFonts w:ascii="Arial" w:eastAsia="Arial" w:hAnsi="Arial" w:cs="Arial"/>
          <w:b/>
        </w:rPr>
        <w:t>Table S6</w:t>
      </w:r>
      <w:r>
        <w:rPr>
          <w:rFonts w:ascii="Arial" w:eastAsia="Arial" w:hAnsi="Arial" w:cs="Arial"/>
        </w:rPr>
        <w:t xml:space="preserve"> and </w:t>
      </w:r>
      <w:r>
        <w:rPr>
          <w:rFonts w:ascii="Arial" w:eastAsia="Arial" w:hAnsi="Arial" w:cs="Arial"/>
          <w:b/>
        </w:rPr>
        <w:t>Figure S10</w:t>
      </w:r>
      <w:r>
        <w:rPr>
          <w:rFonts w:ascii="Arial" w:eastAsia="Arial" w:hAnsi="Arial" w:cs="Arial"/>
        </w:rPr>
        <w:t>), and the dispersion percentage decreases (</w:t>
      </w:r>
      <w:r>
        <w:rPr>
          <w:rFonts w:ascii="Arial" w:eastAsia="Arial" w:hAnsi="Arial" w:cs="Arial"/>
          <w:b/>
        </w:rPr>
        <w:t>Table S7</w:t>
      </w:r>
      <w:r>
        <w:rPr>
          <w:rFonts w:ascii="Arial" w:eastAsia="Arial" w:hAnsi="Arial" w:cs="Arial"/>
        </w:rPr>
        <w:t xml:space="preserve"> and </w:t>
      </w:r>
      <w:r>
        <w:rPr>
          <w:rFonts w:ascii="Arial" w:eastAsia="Arial" w:hAnsi="Arial" w:cs="Arial"/>
          <w:b/>
        </w:rPr>
        <w:t>Figure S10</w:t>
      </w:r>
      <w:r>
        <w:rPr>
          <w:rFonts w:ascii="Arial" w:eastAsia="Arial" w:hAnsi="Arial" w:cs="Arial"/>
        </w:rPr>
        <w:t>).</w:t>
      </w:r>
      <w:r>
        <w:rPr>
          <w:rFonts w:ascii="Arial" w:eastAsia="Arial" w:hAnsi="Arial" w:cs="Arial"/>
        </w:rPr>
        <w:t xml:space="preserve">  </w:t>
      </w:r>
    </w:p>
    <w:p w:rsidR="00D50A26" w:rsidRDefault="00D50A26">
      <w:pPr>
        <w:spacing w:line="360" w:lineRule="auto"/>
        <w:jc w:val="both"/>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rPr>
        <w:t xml:space="preserve">Finally, it is necessary to once again highlight that while the major contribution to the PPII bundle stability comes from canonical H-bonds, the non-canonical ones also make significant contributions. Using the same example for these SAPT calculations as </w:t>
      </w:r>
      <w:r>
        <w:rPr>
          <w:rFonts w:ascii="Arial" w:eastAsia="Arial" w:hAnsi="Arial" w:cs="Arial"/>
        </w:rPr>
        <w:t>in the main text for the DFT-D ones, in the interaction between two helices in our model before experiencing cooperativity, i.e., antiparallel helices a and b without considering c, d, and e, each CO···HN H-bond represented by two formamide molecules contr</w:t>
      </w:r>
      <w:r>
        <w:rPr>
          <w:rFonts w:ascii="Arial" w:eastAsia="Arial" w:hAnsi="Arial" w:cs="Arial"/>
        </w:rPr>
        <w:t>ibutes 5.4 kcal/mol (</w:t>
      </w:r>
      <w:r>
        <w:rPr>
          <w:rFonts w:ascii="Arial" w:eastAsia="Arial" w:hAnsi="Arial" w:cs="Arial"/>
          <w:b/>
        </w:rPr>
        <w:t>Table S9</w:t>
      </w:r>
      <w:r>
        <w:rPr>
          <w:rFonts w:ascii="Arial" w:eastAsia="Arial" w:hAnsi="Arial" w:cs="Arial"/>
        </w:rPr>
        <w:t xml:space="preserve"> and </w:t>
      </w:r>
      <w:r>
        <w:rPr>
          <w:rFonts w:ascii="Arial" w:eastAsia="Arial" w:hAnsi="Arial" w:cs="Arial"/>
          <w:b/>
        </w:rPr>
        <w:t>Figure S4B</w:t>
      </w:r>
      <w:r>
        <w:rPr>
          <w:rFonts w:ascii="Arial" w:eastAsia="Arial" w:hAnsi="Arial" w:cs="Arial"/>
        </w:rPr>
        <w:t>). If we additionally consider the 2.6 kcal/mol arising from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represented by a pair of N-(2-oxoethyl)formamide molecules (</w:t>
      </w:r>
      <w:r>
        <w:rPr>
          <w:rFonts w:ascii="Arial" w:eastAsia="Arial" w:hAnsi="Arial" w:cs="Arial"/>
          <w:b/>
        </w:rPr>
        <w:t xml:space="preserve">Table </w:t>
      </w:r>
      <w:r>
        <w:rPr>
          <w:rFonts w:ascii="Arial" w:eastAsia="Arial" w:hAnsi="Arial" w:cs="Arial"/>
          <w:b/>
        </w:rPr>
        <w:lastRenderedPageBreak/>
        <w:t>S9</w:t>
      </w:r>
      <w:r>
        <w:rPr>
          <w:rFonts w:ascii="Arial" w:eastAsia="Arial" w:hAnsi="Arial" w:cs="Arial"/>
        </w:rPr>
        <w:t xml:space="preserve"> and </w:t>
      </w:r>
      <w:r>
        <w:rPr>
          <w:rFonts w:ascii="Arial" w:eastAsia="Arial" w:hAnsi="Arial" w:cs="Arial"/>
          <w:b/>
        </w:rPr>
        <w:t>Figure S4B</w:t>
      </w:r>
      <w:r>
        <w:rPr>
          <w:rFonts w:ascii="Arial" w:eastAsia="Arial" w:hAnsi="Arial" w:cs="Arial"/>
        </w:rPr>
        <w:t>), we reach an HBS of 8</w:t>
      </w:r>
      <w:r>
        <w:rPr>
          <w:rFonts w:ascii="Arial" w:eastAsia="Arial" w:hAnsi="Arial" w:cs="Arial"/>
        </w:rPr>
        <w:t>.0 kcal/mol per PPII helical turn, as opposed to the initial 5.4 kcal/mol corresponding only to the canonical H-bonds.</w:t>
      </w:r>
    </w:p>
    <w:p w:rsidR="00D50A26" w:rsidRDefault="00D50A26">
      <w:pPr>
        <w:spacing w:before="240" w:after="240" w:line="360" w:lineRule="auto"/>
        <w:jc w:val="both"/>
        <w:rPr>
          <w:rFonts w:ascii="Arial" w:eastAsia="Arial" w:hAnsi="Arial" w:cs="Arial"/>
        </w:rPr>
        <w:sectPr w:rsidR="00D50A26">
          <w:headerReference w:type="default" r:id="rId14"/>
          <w:footerReference w:type="default" r:id="rId15"/>
          <w:pgSz w:w="12240" w:h="15840"/>
          <w:pgMar w:top="1134" w:right="1134" w:bottom="1693" w:left="1134" w:header="0" w:footer="850" w:gutter="0"/>
          <w:pgNumType w:start="1"/>
          <w:cols w:space="720"/>
        </w:sectPr>
      </w:pPr>
    </w:p>
    <w:p w:rsidR="00D50A26" w:rsidRDefault="00D50A26">
      <w:pPr>
        <w:spacing w:line="360" w:lineRule="auto"/>
        <w:jc w:val="both"/>
        <w:rPr>
          <w:rFonts w:ascii="Arial" w:eastAsia="Arial" w:hAnsi="Arial" w:cs="Arial"/>
        </w:rPr>
      </w:pPr>
    </w:p>
    <w:tbl>
      <w:tblPr>
        <w:tblStyle w:val="a2"/>
        <w:tblpPr w:leftFromText="180" w:rightFromText="180" w:topFromText="180" w:bottomFromText="180" w:vertAnchor="text" w:tblpX="5"/>
        <w:tblW w:w="13572"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2407"/>
        <w:gridCol w:w="2409"/>
        <w:gridCol w:w="2210"/>
        <w:gridCol w:w="2221"/>
        <w:gridCol w:w="2157"/>
        <w:gridCol w:w="2168"/>
      </w:tblGrid>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b/>
              </w:rPr>
              <w:t>ρ(BCP) (10</w:t>
            </w:r>
            <w:r>
              <w:rPr>
                <w:rFonts w:ascii="Arial" w:eastAsia="Arial" w:hAnsi="Arial" w:cs="Arial"/>
                <w:b/>
                <w:vertAlign w:val="superscript"/>
              </w:rPr>
              <w:t>-2</w:t>
            </w:r>
            <w:r>
              <w:rPr>
                <w:rFonts w:ascii="Arial" w:eastAsia="Arial" w:hAnsi="Arial" w:cs="Arial"/>
                <w:b/>
              </w:rPr>
              <w:t xml:space="preserve"> au)</w:t>
            </w:r>
          </w:p>
        </w:tc>
        <w:tc>
          <w:tcPr>
            <w:tcW w:w="2409"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8756"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 xml:space="preserve">Number of </w:t>
            </w:r>
            <w:r>
              <w:rPr>
                <w:rFonts w:ascii="Arial" w:eastAsia="Arial" w:hAnsi="Arial" w:cs="Arial"/>
              </w:rPr>
              <w:t>PPII helices</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409"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3.085</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3.082</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3.082</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3.082</w:t>
            </w:r>
          </w:p>
        </w:tc>
      </w:tr>
      <w:tr w:rsidR="00D50A26">
        <w:trPr>
          <w:trHeight w:val="260"/>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3.508</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3.507</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3.507</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3.570</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3.569</w:t>
            </w:r>
          </w:p>
        </w:tc>
      </w:tr>
      <w:tr w:rsidR="00D50A26">
        <w:trPr>
          <w:trHeight w:val="260"/>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1.341</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1.343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1.343</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1.343</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1.409</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1.412</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1.412</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1.411</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1.414</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Distal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0.867</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0.869</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0.869</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0.868</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0.914</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0.913</w:t>
            </w:r>
          </w:p>
        </w:tc>
      </w:tr>
      <w:tr w:rsidR="00D50A26">
        <w:trPr>
          <w:trHeight w:val="290"/>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0.901</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0.901</w:t>
            </w:r>
          </w:p>
        </w:tc>
      </w:tr>
    </w:tbl>
    <w:p w:rsidR="00D50A26" w:rsidRDefault="00F367A7">
      <w:pPr>
        <w:spacing w:before="119" w:line="360" w:lineRule="auto"/>
        <w:jc w:val="both"/>
      </w:pPr>
      <w:r>
        <w:rPr>
          <w:rFonts w:ascii="Arial" w:eastAsia="Arial" w:hAnsi="Arial" w:cs="Arial"/>
          <w:b/>
          <w:color w:val="000000"/>
        </w:rPr>
        <w:t>Table S</w:t>
      </w:r>
      <w:r>
        <w:rPr>
          <w:rFonts w:ascii="Arial" w:eastAsia="Arial" w:hAnsi="Arial" w:cs="Arial"/>
          <w:b/>
        </w:rPr>
        <w:t>1</w:t>
      </w:r>
      <w:r>
        <w:rPr>
          <w:rFonts w:ascii="Arial" w:eastAsia="Arial" w:hAnsi="Arial" w:cs="Arial"/>
          <w:color w:val="000000"/>
        </w:rPr>
        <w:t>. Mean electron density (ρ) of the corresponding BCPs(Ọ···H</w:t>
      </w:r>
      <w:r>
        <w:rPr>
          <w:rFonts w:ascii="Arial" w:eastAsia="Arial" w:hAnsi="Arial" w:cs="Arial"/>
          <w:color w:val="000000"/>
          <w:vertAlign w:val="subscript"/>
        </w:rPr>
        <w:t>N</w:t>
      </w:r>
      <w:r>
        <w:rPr>
          <w:rFonts w:ascii="Arial" w:eastAsia="Arial" w:hAnsi="Arial" w:cs="Arial"/>
          <w:color w:val="000000"/>
        </w:rPr>
        <w:t>/H</w:t>
      </w:r>
      <w:r>
        <w:rPr>
          <w:rFonts w:ascii="Arial" w:eastAsia="Arial" w:hAnsi="Arial" w:cs="Arial"/>
          <w:color w:val="000000"/>
          <w:vertAlign w:val="subscript"/>
        </w:rPr>
        <w:t>α</w:t>
      </w:r>
      <w:r>
        <w:rPr>
          <w:rFonts w:ascii="Arial" w:eastAsia="Arial" w:hAnsi="Arial" w:cs="Arial"/>
          <w:color w:val="000000"/>
        </w:rPr>
        <w:t>) for each CO···HN,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proximal</w:t>
      </w:r>
      <w:r>
        <w:rPr>
          <w:rFonts w:ascii="Arial" w:eastAsia="Arial" w:hAnsi="Arial" w:cs="Arial"/>
          <w:color w:val="000000"/>
        </w:rPr>
        <w:t xml:space="preserve"> and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distal</w:t>
      </w:r>
      <w:r>
        <w:rPr>
          <w:rFonts w:ascii="Arial" w:eastAsia="Arial" w:hAnsi="Arial" w:cs="Arial"/>
          <w:color w:val="000000"/>
        </w:rPr>
        <w:t xml:space="preserve"> H-bond between </w:t>
      </w:r>
      <w:r>
        <w:rPr>
          <w:rFonts w:ascii="Arial" w:eastAsia="Arial" w:hAnsi="Arial" w:cs="Arial"/>
        </w:rPr>
        <w:t xml:space="preserve">antiparallel </w:t>
      </w:r>
      <w:r>
        <w:rPr>
          <w:rFonts w:ascii="Arial" w:eastAsia="Arial" w:hAnsi="Arial" w:cs="Arial"/>
          <w:color w:val="000000"/>
        </w:rPr>
        <w:t>PPII helices in the different interfaces.</w:t>
      </w: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rPr>
      </w:pPr>
    </w:p>
    <w:tbl>
      <w:tblPr>
        <w:tblStyle w:val="a3"/>
        <w:tblpPr w:leftFromText="180" w:rightFromText="180" w:topFromText="180" w:bottomFromText="180" w:vertAnchor="text" w:tblpX="5"/>
        <w:tblW w:w="13572"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2407"/>
        <w:gridCol w:w="2409"/>
        <w:gridCol w:w="2210"/>
        <w:gridCol w:w="2221"/>
        <w:gridCol w:w="2157"/>
        <w:gridCol w:w="2168"/>
      </w:tblGrid>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Unicode MS" w:eastAsia="Arial Unicode MS" w:hAnsi="Arial Unicode MS" w:cs="Arial Unicode MS"/>
                <w:b/>
              </w:rPr>
              <w:t>∇²ρ(BCP) (10</w:t>
            </w:r>
            <w:r>
              <w:rPr>
                <w:rFonts w:ascii="Arial" w:eastAsia="Arial" w:hAnsi="Arial" w:cs="Arial"/>
                <w:b/>
                <w:vertAlign w:val="superscript"/>
              </w:rPr>
              <w:t>-2</w:t>
            </w:r>
            <w:r>
              <w:rPr>
                <w:rFonts w:ascii="Arial" w:eastAsia="Arial" w:hAnsi="Arial" w:cs="Arial"/>
                <w:b/>
              </w:rPr>
              <w:t xml:space="preserve"> au)</w:t>
            </w:r>
          </w:p>
        </w:tc>
        <w:tc>
          <w:tcPr>
            <w:tcW w:w="2409"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8756"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Number of PPII helices</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12.241</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12.176</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12.168</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12.165</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14.140</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14.063</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14.051</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14.388</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14.309</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4.671</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4.669</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4.669</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4.669</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4.913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4.910</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4.910</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4.916</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4.913</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Distal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3.351</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3.361</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3.361</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3.361</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3.526</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3.536</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3.536</w:t>
            </w:r>
          </w:p>
        </w:tc>
      </w:tr>
      <w:tr w:rsidR="00D50A26">
        <w:trPr>
          <w:trHeight w:val="117"/>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3.471</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3.480</w:t>
            </w:r>
          </w:p>
        </w:tc>
      </w:tr>
    </w:tbl>
    <w:p w:rsidR="00D50A26" w:rsidRDefault="00F367A7">
      <w:pPr>
        <w:spacing w:before="119" w:line="360" w:lineRule="auto"/>
        <w:jc w:val="both"/>
      </w:pPr>
      <w:r>
        <w:rPr>
          <w:rFonts w:ascii="Arial" w:eastAsia="Arial" w:hAnsi="Arial" w:cs="Arial"/>
          <w:b/>
          <w:color w:val="000000"/>
        </w:rPr>
        <w:t>Table S</w:t>
      </w:r>
      <w:r>
        <w:rPr>
          <w:rFonts w:ascii="Arial" w:eastAsia="Arial" w:hAnsi="Arial" w:cs="Arial"/>
          <w:b/>
        </w:rPr>
        <w:t>2</w:t>
      </w:r>
      <w:r>
        <w:rPr>
          <w:rFonts w:ascii="Arial Unicode MS" w:eastAsia="Arial Unicode MS" w:hAnsi="Arial Unicode MS" w:cs="Arial Unicode MS"/>
          <w:color w:val="000000"/>
        </w:rPr>
        <w:t>. Mean Laplacian of the electron density (∇²ρ) of the corresponding BCPs(Ọ···H</w:t>
      </w:r>
      <w:r>
        <w:rPr>
          <w:rFonts w:ascii="Arial" w:eastAsia="Arial" w:hAnsi="Arial" w:cs="Arial"/>
          <w:color w:val="000000"/>
          <w:vertAlign w:val="subscript"/>
        </w:rPr>
        <w:t>N</w:t>
      </w:r>
      <w:r>
        <w:rPr>
          <w:rFonts w:ascii="Arial" w:eastAsia="Arial" w:hAnsi="Arial" w:cs="Arial"/>
          <w:color w:val="000000"/>
        </w:rPr>
        <w:t>/H</w:t>
      </w:r>
      <w:r>
        <w:rPr>
          <w:rFonts w:ascii="Arial" w:eastAsia="Arial" w:hAnsi="Arial" w:cs="Arial"/>
          <w:color w:val="000000"/>
          <w:vertAlign w:val="subscript"/>
        </w:rPr>
        <w:t>α</w:t>
      </w:r>
      <w:r>
        <w:rPr>
          <w:rFonts w:ascii="Arial" w:eastAsia="Arial" w:hAnsi="Arial" w:cs="Arial"/>
          <w:color w:val="000000"/>
        </w:rPr>
        <w:t>) for each CO···HN,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proximal</w:t>
      </w:r>
      <w:r>
        <w:rPr>
          <w:rFonts w:ascii="Arial" w:eastAsia="Arial" w:hAnsi="Arial" w:cs="Arial"/>
          <w:color w:val="000000"/>
        </w:rPr>
        <w:t xml:space="preserve"> and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distal</w:t>
      </w:r>
      <w:r>
        <w:rPr>
          <w:rFonts w:ascii="Arial" w:eastAsia="Arial" w:hAnsi="Arial" w:cs="Arial"/>
          <w:color w:val="000000"/>
        </w:rPr>
        <w:t xml:space="preserve"> H-bond between </w:t>
      </w:r>
      <w:r>
        <w:rPr>
          <w:rFonts w:ascii="Arial" w:eastAsia="Arial" w:hAnsi="Arial" w:cs="Arial"/>
        </w:rPr>
        <w:t xml:space="preserve">antiparallel </w:t>
      </w:r>
      <w:r>
        <w:rPr>
          <w:rFonts w:ascii="Arial" w:eastAsia="Arial" w:hAnsi="Arial" w:cs="Arial"/>
          <w:color w:val="000000"/>
        </w:rPr>
        <w:t>PPII helices in the different interfaces.</w:t>
      </w: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drawing>
          <wp:inline distT="114300" distB="114300" distL="114300" distR="114300">
            <wp:extent cx="8618220" cy="4851400"/>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8618220" cy="4851400"/>
                    </a:xfrm>
                    <a:prstGeom prst="rect">
                      <a:avLst/>
                    </a:prstGeom>
                    <a:ln/>
                  </pic:spPr>
                </pic:pic>
              </a:graphicData>
            </a:graphic>
          </wp:inline>
        </w:drawing>
      </w:r>
      <w:r>
        <w:rPr>
          <w:rFonts w:ascii="Arial" w:eastAsia="Arial" w:hAnsi="Arial" w:cs="Arial"/>
          <w:b/>
        </w:rPr>
        <w:t>Figure S1</w:t>
      </w:r>
      <w:r>
        <w:rPr>
          <w:rFonts w:ascii="Arial" w:eastAsia="Arial" w:hAnsi="Arial" w:cs="Arial"/>
        </w:rPr>
        <w:t xml:space="preserve">. </w:t>
      </w:r>
      <w:r>
        <w:rPr>
          <w:rFonts w:ascii="Arial" w:eastAsia="Arial" w:hAnsi="Arial" w:cs="Arial"/>
          <w:b/>
        </w:rPr>
        <w:t>A</w:t>
      </w:r>
      <w:r>
        <w:rPr>
          <w:rFonts w:ascii="Arial" w:eastAsia="Arial" w:hAnsi="Arial" w:cs="Arial"/>
        </w:rPr>
        <w:t>) Mean electron density (ρ) of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xml:space="preserve">) and </w:t>
      </w:r>
      <w:r>
        <w:rPr>
          <w:rFonts w:ascii="Arial" w:eastAsia="Arial" w:hAnsi="Arial" w:cs="Arial"/>
          <w:b/>
        </w:rPr>
        <w:t>B</w:t>
      </w:r>
      <w:r>
        <w:rPr>
          <w:rFonts w:ascii="Arial Unicode MS" w:eastAsia="Arial Unicode MS" w:hAnsi="Arial Unicode MS" w:cs="Arial Unicode MS"/>
        </w:rPr>
        <w:t xml:space="preserve">) mean Laplacian of the electron density </w:t>
      </w:r>
      <w:r>
        <w:rPr>
          <w:rFonts w:ascii="Arial Unicode MS" w:eastAsia="Arial Unicode MS" w:hAnsi="Arial Unicode MS" w:cs="Arial Unicode MS"/>
        </w:rPr>
        <w:lastRenderedPageBreak/>
        <w:t>(∇²ρ) of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CO···HN (squares),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(triangles)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(inverted triangles) H-bond between antiparallel PPII helices. The </w:t>
      </w:r>
      <w:r>
        <w:rPr>
          <w:rFonts w:ascii="Arial" w:eastAsia="Arial" w:hAnsi="Arial" w:cs="Arial"/>
          <w:i/>
        </w:rPr>
        <w:t>ab</w:t>
      </w:r>
      <w:r>
        <w:rPr>
          <w:rFonts w:ascii="Arial" w:eastAsia="Arial" w:hAnsi="Arial" w:cs="Arial"/>
        </w:rPr>
        <w:t xml:space="preserve"> interface for the different systems is indicated in blue; the </w:t>
      </w:r>
      <w:r>
        <w:rPr>
          <w:rFonts w:ascii="Arial" w:eastAsia="Arial" w:hAnsi="Arial" w:cs="Arial"/>
          <w:i/>
        </w:rPr>
        <w:t>bc</w:t>
      </w:r>
      <w:r>
        <w:rPr>
          <w:rFonts w:ascii="Arial" w:eastAsia="Arial" w:hAnsi="Arial" w:cs="Arial"/>
        </w:rPr>
        <w:t xml:space="preserve"> interface, in red, and the </w:t>
      </w:r>
      <w:r>
        <w:rPr>
          <w:rFonts w:ascii="Arial" w:eastAsia="Arial" w:hAnsi="Arial" w:cs="Arial"/>
          <w:i/>
        </w:rPr>
        <w:t>cd</w:t>
      </w:r>
      <w:r>
        <w:rPr>
          <w:rFonts w:ascii="Arial" w:eastAsia="Arial" w:hAnsi="Arial" w:cs="Arial"/>
        </w:rPr>
        <w:t xml:space="preserve"> interface</w:t>
      </w:r>
      <w:r>
        <w:rPr>
          <w:rFonts w:ascii="Arial" w:eastAsia="Arial" w:hAnsi="Arial" w:cs="Arial"/>
        </w:rPr>
        <w:t>, in green.</w:t>
      </w: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4"/>
        <w:tblpPr w:leftFromText="180" w:rightFromText="180" w:topFromText="180" w:bottomFromText="180" w:vertAnchor="text" w:tblpX="-24"/>
        <w:tblW w:w="13571"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2397"/>
        <w:gridCol w:w="2411"/>
        <w:gridCol w:w="2210"/>
        <w:gridCol w:w="2222"/>
        <w:gridCol w:w="2160"/>
        <w:gridCol w:w="2171"/>
      </w:tblGrid>
      <w:tr w:rsidR="00D50A26">
        <w:trPr>
          <w:trHeight w:val="256"/>
        </w:trPr>
        <w:tc>
          <w:tcPr>
            <w:tcW w:w="239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d(O-BCP) (Å)</w:t>
            </w:r>
          </w:p>
        </w:tc>
        <w:tc>
          <w:tcPr>
            <w:tcW w:w="241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8763"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PPII helices</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41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239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1.1653</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1.1666</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1.1668</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1.1669</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1.1396</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1.1409</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1.1411</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1.1351</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1.1364</w:t>
            </w:r>
          </w:p>
        </w:tc>
      </w:tr>
      <w:tr w:rsidR="00D50A26">
        <w:trPr>
          <w:trHeight w:val="256"/>
        </w:trPr>
        <w:tc>
          <w:tcPr>
            <w:tcW w:w="239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1.3734</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1.3743</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1.3742</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1.3741</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1.3585</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1.3593</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1.3593</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1.3582</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1.3589</w:t>
            </w:r>
          </w:p>
        </w:tc>
      </w:tr>
      <w:tr w:rsidR="00D50A26">
        <w:trPr>
          <w:trHeight w:val="256"/>
        </w:trPr>
        <w:tc>
          <w:tcPr>
            <w:tcW w:w="239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Distal</w:t>
            </w: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1.4758</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1.4769</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1.4769</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1.4769</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1.4584</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1.4594</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1.4593</w:t>
            </w:r>
          </w:p>
        </w:tc>
      </w:tr>
      <w:tr w:rsidR="00D50A26">
        <w:trPr>
          <w:trHeight w:val="256"/>
        </w:trPr>
        <w:tc>
          <w:tcPr>
            <w:tcW w:w="239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1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2"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1.4622</w:t>
            </w:r>
          </w:p>
        </w:tc>
        <w:tc>
          <w:tcPr>
            <w:tcW w:w="217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1.4630</w:t>
            </w:r>
          </w:p>
        </w:tc>
      </w:tr>
    </w:tbl>
    <w:p w:rsidR="00D50A26" w:rsidRDefault="00F367A7">
      <w:pPr>
        <w:spacing w:before="119" w:line="360" w:lineRule="auto"/>
        <w:jc w:val="both"/>
      </w:pPr>
      <w:r>
        <w:rPr>
          <w:rFonts w:ascii="Arial" w:eastAsia="Arial" w:hAnsi="Arial" w:cs="Arial"/>
          <w:b/>
          <w:color w:val="000000"/>
        </w:rPr>
        <w:t>Table S</w:t>
      </w:r>
      <w:r>
        <w:rPr>
          <w:rFonts w:ascii="Arial" w:eastAsia="Arial" w:hAnsi="Arial" w:cs="Arial"/>
          <w:b/>
        </w:rPr>
        <w:t>3</w:t>
      </w:r>
      <w:r>
        <w:rPr>
          <w:rFonts w:ascii="Arial" w:eastAsia="Arial" w:hAnsi="Arial" w:cs="Arial"/>
          <w:color w:val="000000"/>
        </w:rPr>
        <w:t>. Mean distance between the corresponding BCPs(Ọ···H</w:t>
      </w:r>
      <w:r>
        <w:rPr>
          <w:rFonts w:ascii="Arial" w:eastAsia="Arial" w:hAnsi="Arial" w:cs="Arial"/>
          <w:color w:val="000000"/>
          <w:vertAlign w:val="subscript"/>
        </w:rPr>
        <w:t>N</w:t>
      </w:r>
      <w:r>
        <w:rPr>
          <w:rFonts w:ascii="Arial" w:eastAsia="Arial" w:hAnsi="Arial" w:cs="Arial"/>
          <w:color w:val="000000"/>
        </w:rPr>
        <w:t>/H</w:t>
      </w:r>
      <w:r>
        <w:rPr>
          <w:rFonts w:ascii="Arial" w:eastAsia="Arial" w:hAnsi="Arial" w:cs="Arial"/>
          <w:color w:val="000000"/>
          <w:vertAlign w:val="subscript"/>
        </w:rPr>
        <w:t>α</w:t>
      </w:r>
      <w:r>
        <w:rPr>
          <w:rFonts w:ascii="Arial" w:eastAsia="Arial" w:hAnsi="Arial" w:cs="Arial"/>
          <w:color w:val="000000"/>
        </w:rPr>
        <w:t>) and oxygen atoms for each CO···HN,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proximal</w:t>
      </w:r>
      <w:r>
        <w:rPr>
          <w:rFonts w:ascii="Arial" w:eastAsia="Arial" w:hAnsi="Arial" w:cs="Arial"/>
          <w:color w:val="000000"/>
        </w:rPr>
        <w:t xml:space="preserve"> and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distal</w:t>
      </w:r>
      <w:r>
        <w:rPr>
          <w:rFonts w:ascii="Arial" w:eastAsia="Arial" w:hAnsi="Arial" w:cs="Arial"/>
          <w:color w:val="000000"/>
        </w:rPr>
        <w:t xml:space="preserve"> H-bond between </w:t>
      </w:r>
      <w:r>
        <w:rPr>
          <w:rFonts w:ascii="Arial" w:eastAsia="Arial" w:hAnsi="Arial" w:cs="Arial"/>
        </w:rPr>
        <w:t>antiparallel</w:t>
      </w:r>
      <w:r>
        <w:rPr>
          <w:rFonts w:ascii="Arial" w:eastAsia="Arial" w:hAnsi="Arial" w:cs="Arial"/>
          <w:color w:val="000000"/>
        </w:rPr>
        <w:t xml:space="preserve"> PPII helices in the different interfaces.</w:t>
      </w: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5"/>
        <w:tblpPr w:leftFromText="180" w:rightFromText="180" w:topFromText="180" w:bottomFromText="180" w:vertAnchor="text" w:tblpX="5"/>
        <w:tblW w:w="13572"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2407"/>
        <w:gridCol w:w="2409"/>
        <w:gridCol w:w="2210"/>
        <w:gridCol w:w="2221"/>
        <w:gridCol w:w="2157"/>
        <w:gridCol w:w="2168"/>
      </w:tblGrid>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d(H-BCP) (Å)</w:t>
            </w:r>
          </w:p>
        </w:tc>
        <w:tc>
          <w:tcPr>
            <w:tcW w:w="2409"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8756"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PPII helices</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409"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0.6945</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0.6933</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0.6931</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0.6931</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0.6647</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0.6636</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0.6634</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0.6595</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0.6584</w:t>
            </w:r>
          </w:p>
        </w:tc>
      </w:tr>
      <w:tr w:rsidR="00D50A26">
        <w:trPr>
          <w:trHeight w:val="245"/>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0.9252</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0.9245</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0.9246</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0.9247</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0.9122</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0.9114</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0.9115</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0.9119</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0.9112</w:t>
            </w:r>
          </w:p>
        </w:tc>
      </w:tr>
      <w:tr w:rsidR="00D50A26">
        <w:trPr>
          <w:trHeight w:val="256"/>
        </w:trPr>
        <w:tc>
          <w:tcPr>
            <w:tcW w:w="2407"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Distal</w:t>
            </w: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1.2754</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1.2764</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1.2767</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1.2769</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1.1776</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1.1777</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1.1779</w:t>
            </w:r>
          </w:p>
        </w:tc>
      </w:tr>
      <w:tr w:rsidR="00D50A26">
        <w:trPr>
          <w:trHeight w:val="256"/>
        </w:trPr>
        <w:tc>
          <w:tcPr>
            <w:tcW w:w="2407"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2409"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21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221"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157"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1.1746</w:t>
            </w:r>
          </w:p>
        </w:tc>
        <w:tc>
          <w:tcPr>
            <w:tcW w:w="2168"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1.1749</w:t>
            </w:r>
          </w:p>
        </w:tc>
      </w:tr>
    </w:tbl>
    <w:p w:rsidR="00D50A26" w:rsidRDefault="00F367A7">
      <w:pPr>
        <w:spacing w:before="119" w:line="360" w:lineRule="auto"/>
        <w:jc w:val="both"/>
      </w:pPr>
      <w:r>
        <w:rPr>
          <w:rFonts w:ascii="Arial" w:eastAsia="Arial" w:hAnsi="Arial" w:cs="Arial"/>
          <w:b/>
          <w:color w:val="000000"/>
        </w:rPr>
        <w:t>Table S</w:t>
      </w:r>
      <w:r>
        <w:rPr>
          <w:rFonts w:ascii="Arial" w:eastAsia="Arial" w:hAnsi="Arial" w:cs="Arial"/>
          <w:b/>
        </w:rPr>
        <w:t>4</w:t>
      </w:r>
      <w:r>
        <w:rPr>
          <w:rFonts w:ascii="Arial" w:eastAsia="Arial" w:hAnsi="Arial" w:cs="Arial"/>
          <w:color w:val="000000"/>
        </w:rPr>
        <w:t>. Mean distance between the corresponding BCPs(Ọ···H</w:t>
      </w:r>
      <w:r>
        <w:rPr>
          <w:rFonts w:ascii="Arial" w:eastAsia="Arial" w:hAnsi="Arial" w:cs="Arial"/>
          <w:color w:val="000000"/>
          <w:vertAlign w:val="subscript"/>
        </w:rPr>
        <w:t>N</w:t>
      </w:r>
      <w:r>
        <w:rPr>
          <w:rFonts w:ascii="Arial" w:eastAsia="Arial" w:hAnsi="Arial" w:cs="Arial"/>
          <w:color w:val="000000"/>
        </w:rPr>
        <w:t>/H</w:t>
      </w:r>
      <w:r>
        <w:rPr>
          <w:rFonts w:ascii="Arial" w:eastAsia="Arial" w:hAnsi="Arial" w:cs="Arial"/>
          <w:color w:val="000000"/>
          <w:vertAlign w:val="subscript"/>
        </w:rPr>
        <w:t>α</w:t>
      </w:r>
      <w:r>
        <w:rPr>
          <w:rFonts w:ascii="Arial" w:eastAsia="Arial" w:hAnsi="Arial" w:cs="Arial"/>
          <w:color w:val="000000"/>
        </w:rPr>
        <w:t>) and hydrogen atoms for each CO···HN,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proximal</w:t>
      </w:r>
      <w:r>
        <w:rPr>
          <w:rFonts w:ascii="Arial" w:eastAsia="Arial" w:hAnsi="Arial" w:cs="Arial"/>
          <w:color w:val="000000"/>
        </w:rPr>
        <w:t xml:space="preserve"> and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distal</w:t>
      </w:r>
      <w:r>
        <w:rPr>
          <w:rFonts w:ascii="Arial" w:eastAsia="Arial" w:hAnsi="Arial" w:cs="Arial"/>
          <w:color w:val="000000"/>
        </w:rPr>
        <w:t xml:space="preserve"> H-bond between </w:t>
      </w:r>
      <w:r>
        <w:rPr>
          <w:rFonts w:ascii="Arial" w:eastAsia="Arial" w:hAnsi="Arial" w:cs="Arial"/>
        </w:rPr>
        <w:t>antiparallel</w:t>
      </w:r>
      <w:r>
        <w:rPr>
          <w:rFonts w:ascii="Arial" w:eastAsia="Arial" w:hAnsi="Arial" w:cs="Arial"/>
          <w:color w:val="000000"/>
        </w:rPr>
        <w:t xml:space="preserve"> PPII helices in the different interfaces.</w:t>
      </w: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D50A26">
      <w:pPr>
        <w:spacing w:line="360" w:lineRule="auto"/>
        <w:jc w:val="both"/>
        <w:rPr>
          <w:rFonts w:ascii="Arial" w:eastAsia="Arial" w:hAnsi="Arial" w:cs="Arial"/>
          <w:color w:val="000000"/>
        </w:rPr>
      </w:pPr>
    </w:p>
    <w:p w:rsidR="00D50A26" w:rsidRDefault="00F367A7">
      <w:pPr>
        <w:spacing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a:stretch>
                      <a:fillRect/>
                    </a:stretch>
                  </pic:blipFill>
                  <pic:spPr>
                    <a:xfrm>
                      <a:off x="0" y="0"/>
                      <a:ext cx="8618220" cy="4851400"/>
                    </a:xfrm>
                    <a:prstGeom prst="rect">
                      <a:avLst/>
                    </a:prstGeom>
                    <a:ln/>
                  </pic:spPr>
                </pic:pic>
              </a:graphicData>
            </a:graphic>
          </wp:inline>
        </w:drawing>
      </w:r>
      <w:r>
        <w:rPr>
          <w:rFonts w:ascii="Arial" w:eastAsia="Arial" w:hAnsi="Arial" w:cs="Arial"/>
          <w:b/>
        </w:rPr>
        <w:t>Figure S2</w:t>
      </w:r>
      <w:r>
        <w:rPr>
          <w:rFonts w:ascii="Arial" w:eastAsia="Arial" w:hAnsi="Arial" w:cs="Arial"/>
        </w:rPr>
        <w:t xml:space="preserve">. </w:t>
      </w:r>
      <w:r>
        <w:rPr>
          <w:rFonts w:ascii="Arial" w:eastAsia="Arial" w:hAnsi="Arial" w:cs="Arial"/>
          <w:b/>
        </w:rPr>
        <w:t>A</w:t>
      </w:r>
      <w:r>
        <w:rPr>
          <w:rFonts w:ascii="Arial" w:eastAsia="Arial" w:hAnsi="Arial" w:cs="Arial"/>
        </w:rPr>
        <w:t>) Mean distance between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xml:space="preserve">) and oxygen atoms, and </w:t>
      </w:r>
      <w:r>
        <w:rPr>
          <w:rFonts w:ascii="Arial" w:eastAsia="Arial" w:hAnsi="Arial" w:cs="Arial"/>
          <w:b/>
        </w:rPr>
        <w:t>B</w:t>
      </w:r>
      <w:r>
        <w:rPr>
          <w:rFonts w:ascii="Arial" w:eastAsia="Arial" w:hAnsi="Arial" w:cs="Arial"/>
        </w:rPr>
        <w:t>) mean distance between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and hydrogen atoms for each CO···HN (squares),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(triangles)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(inverted triangles) H-bond between antiparallel PPII helices. The </w:t>
      </w:r>
      <w:r>
        <w:rPr>
          <w:rFonts w:ascii="Arial" w:eastAsia="Arial" w:hAnsi="Arial" w:cs="Arial"/>
          <w:i/>
        </w:rPr>
        <w:t>ab</w:t>
      </w:r>
      <w:r>
        <w:rPr>
          <w:rFonts w:ascii="Arial" w:eastAsia="Arial" w:hAnsi="Arial" w:cs="Arial"/>
        </w:rPr>
        <w:t xml:space="preserve"> interface for the different</w:t>
      </w:r>
      <w:r>
        <w:rPr>
          <w:rFonts w:ascii="Arial" w:eastAsia="Arial" w:hAnsi="Arial" w:cs="Arial"/>
        </w:rPr>
        <w:t xml:space="preserve"> systems is indicated in blue; the </w:t>
      </w:r>
      <w:r>
        <w:rPr>
          <w:rFonts w:ascii="Arial" w:eastAsia="Arial" w:hAnsi="Arial" w:cs="Arial"/>
          <w:i/>
        </w:rPr>
        <w:t>bc</w:t>
      </w:r>
      <w:r>
        <w:rPr>
          <w:rFonts w:ascii="Arial" w:eastAsia="Arial" w:hAnsi="Arial" w:cs="Arial"/>
        </w:rPr>
        <w:t xml:space="preserve"> interface, in red, and the </w:t>
      </w:r>
      <w:r>
        <w:rPr>
          <w:rFonts w:ascii="Arial" w:eastAsia="Arial" w:hAnsi="Arial" w:cs="Arial"/>
          <w:i/>
        </w:rPr>
        <w:t>cd</w:t>
      </w:r>
      <w:r>
        <w:rPr>
          <w:rFonts w:ascii="Arial" w:eastAsia="Arial" w:hAnsi="Arial" w:cs="Arial"/>
        </w:rPr>
        <w:t xml:space="preserve"> interface, in green.</w:t>
      </w: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6"/>
        <w:tblpPr w:leftFromText="180" w:rightFromText="180" w:topFromText="180" w:bottomFromText="180" w:vertAnchor="text"/>
        <w:tblW w:w="1357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1831"/>
        <w:gridCol w:w="1164"/>
        <w:gridCol w:w="2663"/>
        <w:gridCol w:w="2675"/>
        <w:gridCol w:w="2613"/>
        <w:gridCol w:w="2624"/>
      </w:tblGrid>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 xml:space="preserve">Electrostatics (kcal/mol) </w:t>
            </w:r>
          </w:p>
        </w:tc>
        <w:tc>
          <w:tcPr>
            <w:tcW w:w="1164"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10575"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Layers</w:t>
            </w:r>
          </w:p>
        </w:tc>
      </w:tr>
      <w:tr w:rsidR="00D50A26">
        <w:trPr>
          <w:trHeight w:val="290"/>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1164"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-10.74 (60.1 %)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-11.91 (61.6 %)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-12.30 (62.1 %)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-12.45 (62.2 %)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-13.55 (60.7 %)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-15.31 (62.6 %)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-15.91 (63.2 %)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-14.26 (61.0 %)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-16.27 (63.1 %)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-3.61 (55.0 %)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-3.65 (54.7 %)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-3.77 (55.3 %)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-3.78 (55.3 %)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-3.81 (54.9 %)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-4.03 (55.6 %)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-4.16 (56.2 %)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-3.97 (55.8 %)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-4.17 (56.4 %)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keepNext/>
              <w:jc w:val="center"/>
              <w:rPr>
                <w:rFonts w:ascii="Arial" w:eastAsia="Arial" w:hAnsi="Arial" w:cs="Arial"/>
              </w:rPr>
            </w:pPr>
            <w:r>
              <w:rPr>
                <w:rFonts w:ascii="Arial" w:eastAsia="Arial" w:hAnsi="Arial" w:cs="Arial"/>
              </w:rPr>
              <w:t>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-1.67 (46.1 %)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-1.82 (47.6 %)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-1.90 (48.5 %)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-1.93 (48.8 %)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-1.75 (47.2 %)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-2.00 (49.8 %)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-2.10 (50.9 %)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-1.87 (48.4 %)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-2.17 (51.3 %)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rPr>
                <w:rFonts w:ascii="Arial" w:eastAsia="Arial" w:hAnsi="Arial" w:cs="Arial"/>
              </w:rP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t xml:space="preserve"> </w:t>
            </w:r>
            <w:r>
              <w:rPr>
                <w:rFonts w:ascii="Arial" w:eastAsia="Arial" w:hAnsi="Arial" w:cs="Arial"/>
              </w:rPr>
              <w:t>Proximal+Distal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-4.64 [-5.27] (47.5 %)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-5.33 [-5.47] (49.6 %)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-5.61 [-5.67] (50.5 %)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-5.72 [-5.70] (50.8 %)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-5.54 [-5.56] (50.5 %)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-6.59 [-6.02] (53.4 %)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-7.01 [-6.26] (54.5 %)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-5.91 [-5.84] (51.8 %)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-7.09 [-6.34] (54.8 %)</w:t>
            </w:r>
          </w:p>
        </w:tc>
      </w:tr>
    </w:tbl>
    <w:p w:rsidR="00D50A26" w:rsidRDefault="00F367A7">
      <w:pPr>
        <w:spacing w:before="119" w:line="360" w:lineRule="auto"/>
        <w:jc w:val="both"/>
        <w:rPr>
          <w:rFonts w:ascii="Arial" w:eastAsia="Arial" w:hAnsi="Arial" w:cs="Arial"/>
        </w:rPr>
      </w:pPr>
      <w:r>
        <w:rPr>
          <w:rFonts w:ascii="Arial" w:eastAsia="Arial" w:hAnsi="Arial" w:cs="Arial"/>
          <w:b/>
        </w:rPr>
        <w:t>Table S5.</w:t>
      </w:r>
      <w:r>
        <w:rPr>
          <w:rFonts w:ascii="Arial" w:eastAsia="Arial" w:hAnsi="Arial" w:cs="Arial"/>
        </w:rPr>
        <w:t xml:space="preserve"> Mean electrostatic component of the SAPT2+3/6-311++G(d,p) interaction energy between the molecules that reproduce each CO···HN (formamide),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w:t>
      </w:r>
      <w:r>
        <w:rPr>
          <w:rFonts w:ascii="Arial" w:eastAsia="Arial" w:hAnsi="Arial" w:cs="Arial"/>
        </w:rPr>
        <w:t>xoethyl)formamide) H-bond between antiparallel PPII helices. Shown in brackets is the HBS summation of the isolated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Shown in parentheses is the percentage of</w:t>
      </w:r>
      <w:r>
        <w:rPr>
          <w:rFonts w:ascii="Arial" w:eastAsia="Arial" w:hAnsi="Arial" w:cs="Arial"/>
        </w:rPr>
        <w:t xml:space="preserve"> the total attractive energy (</w:t>
      </w:r>
      <w:r>
        <w:rPr>
          <w:rFonts w:ascii="Arial" w:eastAsia="Arial" w:hAnsi="Arial" w:cs="Arial"/>
          <w:i/>
        </w:rPr>
        <w:t>i.e.</w:t>
      </w:r>
      <w:r>
        <w:rPr>
          <w:rFonts w:ascii="Arial" w:eastAsia="Arial" w:hAnsi="Arial" w:cs="Arial"/>
        </w:rPr>
        <w:t xml:space="preserve"> electrostatics, induction and dispersion) that the electrostatic component represents for each H-bond type using the SAPT decomposition scheme.</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7"/>
        <w:tblpPr w:leftFromText="180" w:rightFromText="180" w:topFromText="180" w:bottomFromText="180" w:vertAnchor="text"/>
        <w:tblW w:w="1357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1831"/>
        <w:gridCol w:w="1164"/>
        <w:gridCol w:w="2663"/>
        <w:gridCol w:w="2675"/>
        <w:gridCol w:w="2613"/>
        <w:gridCol w:w="2624"/>
      </w:tblGrid>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 xml:space="preserve">Induction (kcal/mol) </w:t>
            </w:r>
          </w:p>
        </w:tc>
        <w:tc>
          <w:tcPr>
            <w:tcW w:w="1164"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10575"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Layers</w:t>
            </w:r>
          </w:p>
        </w:tc>
      </w:tr>
      <w:tr w:rsidR="00D50A26">
        <w:trPr>
          <w:trHeight w:val="290"/>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1164"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-4.11 (23.0 %)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-4.43 (22.9 %)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-4.53 (22.8 %)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-4.57 (22.8 %)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-5.35 (24.0 %)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-5.74 (23.5 %)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-5.86 (23.3 %)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-5.64 (24.1 %)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-6.05 (23.4 %)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-1.02 (15.5 %)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-1.06 (15.9 %)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-1.09 (15.9 %)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-1.09 (16.0 %)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-1.12 (16.1 %)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-1.17 (16.1 %)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-1.19 (16.1 %)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-1.14 (16.0 %)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-1.18 (15.9 %)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keepNext/>
              <w:jc w:val="center"/>
              <w:rPr>
                <w:rFonts w:ascii="Arial" w:eastAsia="Arial" w:hAnsi="Arial" w:cs="Arial"/>
              </w:rPr>
            </w:pPr>
            <w:r>
              <w:rPr>
                <w:rFonts w:ascii="Arial" w:eastAsia="Arial" w:hAnsi="Arial" w:cs="Arial"/>
              </w:rPr>
              <w:t>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-0.48 (13.2 %)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-0.50 (13.2 %)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-0.52 (13.2 %)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-0.52 (13.2 %)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-0.49 (13.1 %)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-0.51 (12.8 %)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-0.53 (12.8 %)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-0.50 (13.0 %)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-0.54 (12.8 %)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rPr>
                <w:rFonts w:ascii="Arial" w:eastAsia="Arial" w:hAnsi="Arial" w:cs="Arial"/>
              </w:rP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t xml:space="preserve"> </w:t>
            </w:r>
            <w:r>
              <w:rPr>
                <w:rFonts w:ascii="Arial" w:eastAsia="Arial" w:hAnsi="Arial" w:cs="Arial"/>
              </w:rPr>
              <w:t>Proximal+Distal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-1.39 [-1.50] (14.2 %)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-1.61 [-1.57] (14.9 %)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-1.68 [-1.61] (15.1 %)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-1.71 [-1.61] (15.2 %)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-1.58 [-1.60] (14.4 %)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-1.83 [-1.68] (14.9 %)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-1.92 [-1.72] (14.9 %)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-1.65 [-1.64] (14.4 %)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-1.91 [-1.72] (14.7 %)</w:t>
            </w:r>
          </w:p>
        </w:tc>
      </w:tr>
    </w:tbl>
    <w:p w:rsidR="00D50A26" w:rsidRDefault="00F367A7">
      <w:pPr>
        <w:spacing w:before="119" w:line="360" w:lineRule="auto"/>
        <w:jc w:val="both"/>
        <w:rPr>
          <w:rFonts w:ascii="Arial" w:eastAsia="Arial" w:hAnsi="Arial" w:cs="Arial"/>
        </w:rPr>
      </w:pPr>
      <w:r>
        <w:rPr>
          <w:rFonts w:ascii="Arial" w:eastAsia="Arial" w:hAnsi="Arial" w:cs="Arial"/>
          <w:b/>
        </w:rPr>
        <w:t>Table S6.</w:t>
      </w:r>
      <w:r>
        <w:rPr>
          <w:rFonts w:ascii="Arial" w:eastAsia="Arial" w:hAnsi="Arial" w:cs="Arial"/>
        </w:rPr>
        <w:t xml:space="preserve"> Mean induction component of the SAPT2+3/6-311++G(d,p) interaction energy between the molecules that reproduce each CO···HN (formamide),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(N-(2-oxoet</w:t>
      </w:r>
      <w:r>
        <w:rPr>
          <w:rFonts w:ascii="Arial" w:eastAsia="Arial" w:hAnsi="Arial" w:cs="Arial"/>
        </w:rPr>
        <w:t>hyl)formamide) H-bond between antiparallel PPII helices. Shown in brackets is the HBS summation of the isolated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Shown in parentheses is the percentage of the</w:t>
      </w:r>
      <w:r>
        <w:rPr>
          <w:rFonts w:ascii="Arial" w:eastAsia="Arial" w:hAnsi="Arial" w:cs="Arial"/>
        </w:rPr>
        <w:t xml:space="preserve"> total attractive energy (</w:t>
      </w:r>
      <w:r>
        <w:rPr>
          <w:rFonts w:ascii="Arial" w:eastAsia="Arial" w:hAnsi="Arial" w:cs="Arial"/>
          <w:i/>
        </w:rPr>
        <w:t>i.e.</w:t>
      </w:r>
      <w:r>
        <w:rPr>
          <w:rFonts w:ascii="Arial" w:eastAsia="Arial" w:hAnsi="Arial" w:cs="Arial"/>
        </w:rPr>
        <w:t xml:space="preserve"> electrostatics, induction and dispersion) that the induction component represents for each H-bond type using the SAPT decomposition scheme.</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8"/>
        <w:tblpPr w:leftFromText="180" w:rightFromText="180" w:topFromText="180" w:bottomFromText="180" w:vertAnchor="text"/>
        <w:tblW w:w="1357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1831"/>
        <w:gridCol w:w="1164"/>
        <w:gridCol w:w="2663"/>
        <w:gridCol w:w="2675"/>
        <w:gridCol w:w="2613"/>
        <w:gridCol w:w="2624"/>
      </w:tblGrid>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 xml:space="preserve">Dispersion (kcal/mol) </w:t>
            </w:r>
          </w:p>
        </w:tc>
        <w:tc>
          <w:tcPr>
            <w:tcW w:w="1164"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10575"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Layers</w:t>
            </w:r>
          </w:p>
        </w:tc>
      </w:tr>
      <w:tr w:rsidR="00D50A26">
        <w:trPr>
          <w:trHeight w:val="290"/>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1164"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-3.01 (16.9 %)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-3.00 (15.5 %)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-2.99 (15.1 %)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-2.99 (14.9 %)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-3.42 (15.3 %)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-3.40 (13.9 %)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-3.39 (13.5 %)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-3.49 (14.9 %)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-3.47 (13.5 %)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-1.93 (29.4 %)</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-1.96 (29.4 %)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-1.96 (28.8 %)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-1.96 (28.7 %)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-2.01 (29.0 %)</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-2.04 (28.2 %)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-2.05 (27.7 %)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-2.01 (28.3 %)</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-2.04 (27.7 %)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keepNext/>
              <w:jc w:val="center"/>
              <w:rPr>
                <w:rFonts w:ascii="Arial" w:eastAsia="Arial" w:hAnsi="Arial" w:cs="Arial"/>
              </w:rPr>
            </w:pPr>
            <w:r>
              <w:rPr>
                <w:rFonts w:ascii="Arial" w:eastAsia="Arial" w:hAnsi="Arial" w:cs="Arial"/>
              </w:rPr>
              <w:t>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-1.47 (40.7 %)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-1.50 (39.2 %)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-1.50 (38.3 %)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-1.50 (38.0 %)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-1.47 (39.7 %)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-1.50 (37.4 %)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-1.50 (36.3 %)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-1.49 (38.6 %)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-1.52 (36.0 %)</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rPr>
                <w:rFonts w:ascii="Arial" w:eastAsia="Arial" w:hAnsi="Arial" w:cs="Arial"/>
              </w:rP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t xml:space="preserve"> </w:t>
            </w:r>
            <w:r>
              <w:rPr>
                <w:rFonts w:ascii="Arial" w:eastAsia="Arial" w:hAnsi="Arial" w:cs="Arial"/>
              </w:rPr>
              <w:t>Proximal+Distal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-3.74 [-3.40] (38.3 %)</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-3.82 [-3.46] (35.5 %)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-3.82 [-3.46] (34.4 %)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-3.83 [-3.47] (34.0 %)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-3.84 [-3.48] (35.0 %)</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-3.92 [-3.54] (31.7 %)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-3.93 [-3.55] (30.5 %)</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-3.86 [-3.50] (33.8 %)</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-3.94 [-3.56] (30.4 %))</w:t>
            </w:r>
          </w:p>
        </w:tc>
      </w:tr>
    </w:tbl>
    <w:p w:rsidR="00D50A26" w:rsidRDefault="00F367A7">
      <w:pPr>
        <w:spacing w:before="119" w:line="360" w:lineRule="auto"/>
        <w:jc w:val="both"/>
        <w:rPr>
          <w:rFonts w:ascii="Arial" w:eastAsia="Arial" w:hAnsi="Arial" w:cs="Arial"/>
        </w:rPr>
      </w:pPr>
      <w:r>
        <w:rPr>
          <w:rFonts w:ascii="Arial" w:eastAsia="Arial" w:hAnsi="Arial" w:cs="Arial"/>
          <w:b/>
        </w:rPr>
        <w:t>Table S7.</w:t>
      </w:r>
      <w:r>
        <w:rPr>
          <w:rFonts w:ascii="Arial" w:eastAsia="Arial" w:hAnsi="Arial" w:cs="Arial"/>
        </w:rPr>
        <w:t xml:space="preserve"> Mean dispersion component of the SAPT2+3/6-311++G(d,p) interaction energy between the molecules that reproduce each CO···HN (formamide),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w:t>
      </w:r>
      <w:r>
        <w:rPr>
          <w:rFonts w:ascii="Arial" w:eastAsia="Arial" w:hAnsi="Arial" w:cs="Arial"/>
        </w:rPr>
        <w:t>thyl)formamide) H-bond between antiparallel PPII helices. Shown in brackets is the HBS summation of the isolated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Shown in parentheses is the percentage of th</w:t>
      </w:r>
      <w:r>
        <w:rPr>
          <w:rFonts w:ascii="Arial" w:eastAsia="Arial" w:hAnsi="Arial" w:cs="Arial"/>
        </w:rPr>
        <w:t>e total attractive energy (</w:t>
      </w:r>
      <w:r>
        <w:rPr>
          <w:rFonts w:ascii="Arial" w:eastAsia="Arial" w:hAnsi="Arial" w:cs="Arial"/>
          <w:i/>
        </w:rPr>
        <w:t>i.e.</w:t>
      </w:r>
      <w:r>
        <w:rPr>
          <w:rFonts w:ascii="Arial" w:eastAsia="Arial" w:hAnsi="Arial" w:cs="Arial"/>
        </w:rPr>
        <w:t xml:space="preserve"> electrostatics, induction and dispersion) that the dispersion component represents for each H-bond type using the SAPT decomposition scheme.</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drawing>
          <wp:inline distT="114300" distB="114300" distL="114300" distR="114300">
            <wp:extent cx="8618220" cy="4851400"/>
            <wp:effectExtent l="0" t="0" r="0"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8618220" cy="4851400"/>
                    </a:xfrm>
                    <a:prstGeom prst="rect">
                      <a:avLst/>
                    </a:prstGeom>
                    <a:ln/>
                  </pic:spPr>
                </pic:pic>
              </a:graphicData>
            </a:graphic>
          </wp:inline>
        </w:drawing>
      </w:r>
      <w:r>
        <w:rPr>
          <w:rFonts w:ascii="Arial" w:eastAsia="Arial" w:hAnsi="Arial" w:cs="Arial"/>
          <w:b/>
        </w:rPr>
        <w:t>Figure S3.</w:t>
      </w:r>
      <w:r>
        <w:rPr>
          <w:rFonts w:ascii="Arial" w:eastAsia="Arial" w:hAnsi="Arial" w:cs="Arial"/>
        </w:rPr>
        <w:t xml:space="preserve"> </w:t>
      </w:r>
      <w:r>
        <w:rPr>
          <w:rFonts w:ascii="Arial" w:eastAsia="Arial" w:hAnsi="Arial" w:cs="Arial"/>
          <w:b/>
        </w:rPr>
        <w:t>A)</w:t>
      </w:r>
      <w:r>
        <w:rPr>
          <w:rFonts w:ascii="Arial" w:eastAsia="Arial" w:hAnsi="Arial" w:cs="Arial"/>
        </w:rPr>
        <w:t xml:space="preserve"> Mean electrostatic, </w:t>
      </w:r>
      <w:r>
        <w:rPr>
          <w:rFonts w:ascii="Arial" w:eastAsia="Arial" w:hAnsi="Arial" w:cs="Arial"/>
          <w:b/>
        </w:rPr>
        <w:t>B)</w:t>
      </w:r>
      <w:r>
        <w:rPr>
          <w:rFonts w:ascii="Arial" w:eastAsia="Arial" w:hAnsi="Arial" w:cs="Arial"/>
        </w:rPr>
        <w:t xml:space="preserve"> mean induction and </w:t>
      </w:r>
      <w:r>
        <w:rPr>
          <w:rFonts w:ascii="Arial" w:eastAsia="Arial" w:hAnsi="Arial" w:cs="Arial"/>
          <w:b/>
        </w:rPr>
        <w:t>C)</w:t>
      </w:r>
      <w:r>
        <w:rPr>
          <w:rFonts w:ascii="Arial" w:eastAsia="Arial" w:hAnsi="Arial" w:cs="Arial"/>
        </w:rPr>
        <w:t xml:space="preserve"> mean dispersion components of the SAPT2+3/6-311++G(d,p) interaction energy between the molecules that reproduce each CO···HN (formamide, squares),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triangles),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inverted triangles) and (</w:t>
      </w: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w:t>
      </w:r>
      <w:r>
        <w:rPr>
          <w:rFonts w:ascii="Arial" w:eastAsia="Arial" w:hAnsi="Arial" w:cs="Arial"/>
        </w:rPr>
        <w:lastRenderedPageBreak/>
        <w:t xml:space="preserve">oxoethyl)formamide, circles and dashed line) H-bond between antiparallel PPII helices. The </w:t>
      </w:r>
      <w:r>
        <w:rPr>
          <w:rFonts w:ascii="Arial" w:eastAsia="Arial" w:hAnsi="Arial" w:cs="Arial"/>
          <w:i/>
        </w:rPr>
        <w:t>ab</w:t>
      </w:r>
      <w:r>
        <w:rPr>
          <w:rFonts w:ascii="Arial" w:eastAsia="Arial" w:hAnsi="Arial" w:cs="Arial"/>
        </w:rPr>
        <w:t xml:space="preserve"> interface for the different systems is indicated in blue; the </w:t>
      </w:r>
      <w:r>
        <w:rPr>
          <w:rFonts w:ascii="Arial" w:eastAsia="Arial" w:hAnsi="Arial" w:cs="Arial"/>
          <w:i/>
        </w:rPr>
        <w:t>bc</w:t>
      </w:r>
      <w:r>
        <w:rPr>
          <w:rFonts w:ascii="Arial" w:eastAsia="Arial" w:hAnsi="Arial" w:cs="Arial"/>
        </w:rPr>
        <w:t xml:space="preserve"> interface, in red, and the </w:t>
      </w:r>
      <w:r>
        <w:rPr>
          <w:rFonts w:ascii="Arial" w:eastAsia="Arial" w:hAnsi="Arial" w:cs="Arial"/>
          <w:i/>
        </w:rPr>
        <w:t>cd</w:t>
      </w:r>
      <w:r>
        <w:rPr>
          <w:rFonts w:ascii="Arial" w:eastAsia="Arial" w:hAnsi="Arial" w:cs="Arial"/>
        </w:rPr>
        <w:t xml:space="preserve"> interface, in green.</w:t>
      </w:r>
    </w:p>
    <w:p w:rsidR="00D50A26" w:rsidRDefault="00D50A26">
      <w:pPr>
        <w:spacing w:before="119" w:line="360" w:lineRule="auto"/>
        <w:jc w:val="both"/>
        <w:rPr>
          <w:rFonts w:ascii="Arial" w:eastAsia="Arial" w:hAnsi="Arial" w:cs="Arial"/>
        </w:rPr>
      </w:pPr>
    </w:p>
    <w:tbl>
      <w:tblPr>
        <w:tblStyle w:val="a9"/>
        <w:tblpPr w:leftFromText="180" w:rightFromText="180" w:topFromText="180" w:bottomFromText="180" w:vertAnchor="text"/>
        <w:tblW w:w="1357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1831"/>
        <w:gridCol w:w="1164"/>
        <w:gridCol w:w="2663"/>
        <w:gridCol w:w="2675"/>
        <w:gridCol w:w="2613"/>
        <w:gridCol w:w="2624"/>
      </w:tblGrid>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 xml:space="preserve">Exchange (kcal/mol) </w:t>
            </w:r>
          </w:p>
        </w:tc>
        <w:tc>
          <w:tcPr>
            <w:tcW w:w="1164"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10575"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Layers</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1164"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12.51</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12.23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12.18</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12.16</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15.34</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15.02</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14.95</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15.78</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15.46</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4.67</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4.69</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4.69</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4.70</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4.94</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4.96</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4.97</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4.97</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keepNext/>
              <w:jc w:val="center"/>
              <w:rPr>
                <w:rFonts w:ascii="Arial" w:eastAsia="Arial" w:hAnsi="Arial" w:cs="Arial"/>
              </w:rPr>
            </w:pPr>
            <w:r>
              <w:rPr>
                <w:rFonts w:ascii="Arial" w:eastAsia="Arial" w:hAnsi="Arial" w:cs="Arial"/>
              </w:rPr>
              <w:t>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3.16</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3.19</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3.19</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3.20</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3.04</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3.06</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3.07</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3.13</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3.16</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rPr>
                <w:rFonts w:ascii="Arial" w:eastAsia="Arial" w:hAnsi="Arial" w:cs="Arial"/>
              </w:rP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t xml:space="preserve"> </w:t>
            </w:r>
            <w:r>
              <w:rPr>
                <w:rFonts w:ascii="Arial" w:eastAsia="Arial" w:hAnsi="Arial" w:cs="Arial"/>
              </w:rPr>
              <w:t>Proximal+Distal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7.20 [7.83]</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7.30 [7.87]</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7.33 [7.89]</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7.34 [7.89]</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7.40 [7.97]</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7.51 [8.03]</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7.54 [8.04]</w:t>
            </w:r>
          </w:p>
        </w:tc>
      </w:tr>
      <w:tr w:rsidR="00D50A26">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7.48 [8.08]</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7.59 [8.13]</w:t>
            </w:r>
          </w:p>
        </w:tc>
      </w:tr>
    </w:tbl>
    <w:p w:rsidR="00D50A26" w:rsidRDefault="00F367A7">
      <w:pPr>
        <w:spacing w:before="119" w:line="360" w:lineRule="auto"/>
        <w:jc w:val="both"/>
        <w:rPr>
          <w:rFonts w:ascii="Arial" w:eastAsia="Arial" w:hAnsi="Arial" w:cs="Arial"/>
        </w:rPr>
      </w:pPr>
      <w:r>
        <w:rPr>
          <w:rFonts w:ascii="Arial" w:eastAsia="Arial" w:hAnsi="Arial" w:cs="Arial"/>
          <w:b/>
        </w:rPr>
        <w:t>Table S8.</w:t>
      </w:r>
      <w:r>
        <w:rPr>
          <w:rFonts w:ascii="Arial" w:eastAsia="Arial" w:hAnsi="Arial" w:cs="Arial"/>
        </w:rPr>
        <w:t xml:space="preserve"> Mean exchange component of the SAPT2+3/6-311++G(d,p) interaction energy between the molecules that reproduce each CO···HN (formamide),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(N-(2-oxoeth</w:t>
      </w:r>
      <w:r>
        <w:rPr>
          <w:rFonts w:ascii="Arial" w:eastAsia="Arial" w:hAnsi="Arial" w:cs="Arial"/>
        </w:rPr>
        <w:t>yl)formamide) H-bond between antiparallel PPII helices. Shown in brackets is the HBS summation of the isolated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The exchange component represents the repulsive energy for each H-bond type according to the SAPT decomposition scheme.</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tbl>
      <w:tblPr>
        <w:tblStyle w:val="aa"/>
        <w:tblpPr w:leftFromText="180" w:rightFromText="180" w:topFromText="180" w:bottomFromText="180" w:vertAnchor="text"/>
        <w:tblW w:w="1357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1831"/>
        <w:gridCol w:w="1164"/>
        <w:gridCol w:w="2663"/>
        <w:gridCol w:w="2675"/>
        <w:gridCol w:w="2613"/>
        <w:gridCol w:w="2624"/>
      </w:tblGrid>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 xml:space="preserve">Total SAPT (kcal/mol) </w:t>
            </w:r>
          </w:p>
        </w:tc>
        <w:tc>
          <w:tcPr>
            <w:tcW w:w="1164"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Interface</w:t>
            </w:r>
          </w:p>
        </w:tc>
        <w:tc>
          <w:tcPr>
            <w:tcW w:w="10575"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Layers</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1164"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pP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-5.35</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-7.10</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-7.64</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-7.85</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-6.97</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-9.43</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-10.21</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-7.60</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-10.33</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jc w:val="center"/>
              <w:rPr>
                <w:rFonts w:ascii="Arial" w:eastAsia="Arial" w:hAnsi="Arial" w:cs="Arial"/>
              </w:rPr>
            </w:pPr>
            <w:r>
              <w:rPr>
                <w:rFonts w:ascii="Arial" w:eastAsia="Arial" w:hAnsi="Arial" w:cs="Arial"/>
              </w:rPr>
              <w:t>Proximal</w:t>
            </w: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-1.89</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-1.99</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-2.13</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-2.14</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-2.00</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-2.28</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-2.43</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-2.17</w:t>
            </w:r>
          </w:p>
        </w:tc>
        <w:tc>
          <w:tcPr>
            <w:tcW w:w="262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-2.42</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p>
          <w:p w:rsidR="00D50A26" w:rsidRDefault="00F367A7">
            <w:pPr>
              <w:keepNext/>
              <w:jc w:val="center"/>
              <w:rPr>
                <w:rFonts w:ascii="Arial" w:eastAsia="Arial" w:hAnsi="Arial" w:cs="Arial"/>
              </w:rPr>
            </w:pPr>
            <w:r>
              <w:rPr>
                <w:rFonts w:ascii="Arial" w:eastAsia="Arial" w:hAnsi="Arial" w:cs="Arial"/>
              </w:rPr>
              <w:t>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-0.46</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-0.64</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-0.73</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-0.75</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-0.67</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-0.94</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-1.06</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-0.74</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-1.07</w:t>
            </w:r>
          </w:p>
        </w:tc>
      </w:tr>
      <w:tr w:rsidR="00D50A26">
        <w:trPr>
          <w:trHeight w:val="256"/>
        </w:trPr>
        <w:tc>
          <w:tcPr>
            <w:tcW w:w="1831" w:type="dxa"/>
            <w:vMerge w:val="restart"/>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F367A7">
            <w:pPr>
              <w:keepNext/>
              <w:jc w:val="center"/>
              <w:rPr>
                <w:rFonts w:ascii="Arial" w:eastAsia="Arial" w:hAnsi="Arial" w:cs="Arial"/>
              </w:rP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t xml:space="preserve"> </w:t>
            </w:r>
            <w:r>
              <w:rPr>
                <w:rFonts w:ascii="Arial" w:eastAsia="Arial" w:hAnsi="Arial" w:cs="Arial"/>
              </w:rPr>
              <w:t>Proximal+Distal</w:t>
            </w: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ab</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-2.57 [-2.35]</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-3.45 [-2.63]</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-3.79 [-2.85]</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-3.92 [-2.89]</w:t>
            </w:r>
          </w:p>
        </w:tc>
      </w:tr>
      <w:tr w:rsidR="00D50A26">
        <w:trPr>
          <w:trHeight w:val="256"/>
        </w:trPr>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bc</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-3.55 [-2.67]</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-4.83 [-3.22]</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-5.32 [-3.49]</w:t>
            </w:r>
          </w:p>
        </w:tc>
      </w:tr>
      <w:tr w:rsidR="00D50A26">
        <w:tc>
          <w:tcPr>
            <w:tcW w:w="1831" w:type="dxa"/>
            <w:vMerge/>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center"/>
          </w:tcPr>
          <w:p w:rsidR="00D50A26" w:rsidRDefault="00D50A26">
            <w:pPr>
              <w:widowControl w:val="0"/>
              <w:spacing w:line="276" w:lineRule="auto"/>
              <w:rPr>
                <w:rFonts w:ascii="Arial" w:eastAsia="Arial" w:hAnsi="Arial" w:cs="Arial"/>
              </w:rPr>
            </w:pPr>
          </w:p>
        </w:tc>
        <w:tc>
          <w:tcPr>
            <w:tcW w:w="116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i/>
              </w:rPr>
            </w:pPr>
            <w:r>
              <w:rPr>
                <w:rFonts w:ascii="Arial" w:eastAsia="Arial" w:hAnsi="Arial" w:cs="Arial"/>
                <w:i/>
              </w:rPr>
              <w:t>cd</w:t>
            </w:r>
          </w:p>
        </w:tc>
        <w:tc>
          <w:tcPr>
            <w:tcW w:w="266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75"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w:t>
            </w:r>
          </w:p>
        </w:tc>
        <w:tc>
          <w:tcPr>
            <w:tcW w:w="2613"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-3.93 [-2.90]</w:t>
            </w:r>
          </w:p>
        </w:tc>
        <w:tc>
          <w:tcPr>
            <w:tcW w:w="2624" w:type="dxa"/>
            <w:tcBorders>
              <w:top w:val="single" w:sz="6" w:space="0" w:color="000000"/>
              <w:left w:val="single" w:sz="6" w:space="0" w:color="000000"/>
              <w:bottom w:val="single" w:sz="6" w:space="0" w:color="000000"/>
              <w:right w:val="single" w:sz="6" w:space="0" w:color="000000"/>
            </w:tcBorders>
            <w:tcMar>
              <w:top w:w="0" w:type="dxa"/>
              <w:left w:w="12" w:type="dxa"/>
              <w:bottom w:w="0" w:type="dxa"/>
              <w:right w:w="28" w:type="dxa"/>
            </w:tcMar>
            <w:vAlign w:val="bottom"/>
          </w:tcPr>
          <w:p w:rsidR="00D50A26" w:rsidRDefault="00F367A7">
            <w:pPr>
              <w:jc w:val="center"/>
              <w:rPr>
                <w:rFonts w:ascii="Arial" w:eastAsia="Arial" w:hAnsi="Arial" w:cs="Arial"/>
              </w:rPr>
            </w:pPr>
            <w:r>
              <w:rPr>
                <w:rFonts w:ascii="Arial" w:eastAsia="Arial" w:hAnsi="Arial" w:cs="Arial"/>
              </w:rPr>
              <w:t>-5.35 [-3.49]</w:t>
            </w:r>
          </w:p>
        </w:tc>
      </w:tr>
    </w:tbl>
    <w:p w:rsidR="00D50A26" w:rsidRDefault="00F367A7">
      <w:pPr>
        <w:spacing w:before="119" w:line="360" w:lineRule="auto"/>
        <w:jc w:val="both"/>
        <w:rPr>
          <w:rFonts w:ascii="Arial" w:eastAsia="Arial" w:hAnsi="Arial" w:cs="Arial"/>
        </w:rPr>
      </w:pPr>
      <w:r>
        <w:rPr>
          <w:rFonts w:ascii="Arial" w:eastAsia="Arial" w:hAnsi="Arial" w:cs="Arial"/>
          <w:b/>
        </w:rPr>
        <w:t>Table S9.</w:t>
      </w:r>
      <w:r>
        <w:rPr>
          <w:rFonts w:ascii="Arial" w:eastAsia="Arial" w:hAnsi="Arial" w:cs="Arial"/>
        </w:rPr>
        <w:t xml:space="preserve"> Mean total SAPT2+3/6-311++G(d,p) interaction energy between the molecules that reproduce each CO···HN (formamide),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(N-(2-oxoethyl)formamide) H-bond between antiparallel PPII helices. Shown in brackets is the HBS summation of the isolated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(for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8618220" cy="4851400"/>
                    </a:xfrm>
                    <a:prstGeom prst="rect">
                      <a:avLst/>
                    </a:prstGeom>
                    <a:ln/>
                  </pic:spPr>
                </pic:pic>
              </a:graphicData>
            </a:graphic>
          </wp:inline>
        </w:drawing>
      </w:r>
      <w:r>
        <w:rPr>
          <w:rFonts w:ascii="Arial" w:eastAsia="Arial" w:hAnsi="Arial" w:cs="Arial"/>
          <w:b/>
        </w:rPr>
        <w:t>Figure S</w:t>
      </w:r>
      <w:r>
        <w:rPr>
          <w:rFonts w:ascii="Arial" w:eastAsia="Arial" w:hAnsi="Arial" w:cs="Arial"/>
          <w:b/>
        </w:rPr>
        <w:t>4.</w:t>
      </w:r>
      <w:r>
        <w:rPr>
          <w:rFonts w:ascii="Arial" w:eastAsia="Arial" w:hAnsi="Arial" w:cs="Arial"/>
        </w:rPr>
        <w:t xml:space="preserve"> </w:t>
      </w:r>
      <w:r>
        <w:rPr>
          <w:rFonts w:ascii="Arial" w:eastAsia="Arial" w:hAnsi="Arial" w:cs="Arial"/>
          <w:b/>
        </w:rPr>
        <w:t>A)</w:t>
      </w:r>
      <w:r>
        <w:rPr>
          <w:rFonts w:ascii="Arial" w:eastAsia="Arial" w:hAnsi="Arial" w:cs="Arial"/>
        </w:rPr>
        <w:t xml:space="preserve"> Mean exchange component of the SAPT2+3/6-311++G(d,p) interaction energy and </w:t>
      </w:r>
      <w:r>
        <w:rPr>
          <w:rFonts w:ascii="Arial" w:eastAsia="Arial" w:hAnsi="Arial" w:cs="Arial"/>
          <w:b/>
        </w:rPr>
        <w:t>B)</w:t>
      </w:r>
      <w:r>
        <w:rPr>
          <w:rFonts w:ascii="Arial" w:eastAsia="Arial" w:hAnsi="Arial" w:cs="Arial"/>
        </w:rPr>
        <w:t xml:space="preserve"> mean total SAPT2+3/6-311++G(d,p) interaction energy between the molecules that reproduce each CO···HN (formamide, squares),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(N-methylformamide, triangle</w:t>
      </w:r>
      <w:r>
        <w:rPr>
          <w:rFonts w:ascii="Arial" w:eastAsia="Arial" w:hAnsi="Arial" w:cs="Arial"/>
        </w:rPr>
        <w:t>s),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(acetaldehyde, inverted triangles) and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(N-(2-oxoethyl)formamide, circles and dashed line) H-bond between antiparallel PPII helices. The </w:t>
      </w:r>
      <w:r>
        <w:rPr>
          <w:rFonts w:ascii="Arial" w:eastAsia="Arial" w:hAnsi="Arial" w:cs="Arial"/>
          <w:i/>
        </w:rPr>
        <w:t>ab</w:t>
      </w:r>
      <w:r>
        <w:rPr>
          <w:rFonts w:ascii="Arial" w:eastAsia="Arial" w:hAnsi="Arial" w:cs="Arial"/>
        </w:rPr>
        <w:t xml:space="preserve"> interface for the different systems is indicated in blue; the </w:t>
      </w:r>
      <w:r>
        <w:rPr>
          <w:rFonts w:ascii="Arial" w:eastAsia="Arial" w:hAnsi="Arial" w:cs="Arial"/>
          <w:i/>
        </w:rPr>
        <w:t>bc</w:t>
      </w:r>
      <w:r>
        <w:rPr>
          <w:rFonts w:ascii="Arial" w:eastAsia="Arial" w:hAnsi="Arial" w:cs="Arial"/>
        </w:rPr>
        <w:t xml:space="preserve"> interface, in red, and the </w:t>
      </w:r>
      <w:r>
        <w:rPr>
          <w:rFonts w:ascii="Arial" w:eastAsia="Arial" w:hAnsi="Arial" w:cs="Arial"/>
          <w:i/>
        </w:rPr>
        <w:t>cd</w:t>
      </w:r>
      <w:r>
        <w:rPr>
          <w:rFonts w:ascii="Arial" w:eastAsia="Arial" w:hAnsi="Arial" w:cs="Arial"/>
        </w:rPr>
        <w:t xml:space="preserve"> interface, in green.</w:t>
      </w:r>
    </w:p>
    <w:p w:rsidR="00D50A26" w:rsidRDefault="00F367A7">
      <w:pPr>
        <w:spacing w:before="119"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8618220" cy="4851400"/>
                    </a:xfrm>
                    <a:prstGeom prst="rect">
                      <a:avLst/>
                    </a:prstGeom>
                    <a:ln/>
                  </pic:spPr>
                </pic:pic>
              </a:graphicData>
            </a:graphic>
          </wp:inline>
        </w:drawing>
      </w:r>
      <w:r>
        <w:rPr>
          <w:rFonts w:ascii="Arial" w:eastAsia="Arial" w:hAnsi="Arial" w:cs="Arial"/>
          <w:b/>
        </w:rPr>
        <w:t xml:space="preserve">Figure S5. </w:t>
      </w:r>
      <w:r>
        <w:rPr>
          <w:rFonts w:ascii="Arial" w:eastAsia="Arial" w:hAnsi="Arial" w:cs="Arial"/>
        </w:rPr>
        <w:t xml:space="preserve">Percentage of each attractive component to the total attractive energy, </w:t>
      </w:r>
      <w:r>
        <w:rPr>
          <w:rFonts w:ascii="Arial" w:eastAsia="Arial" w:hAnsi="Arial" w:cs="Arial"/>
          <w:i/>
        </w:rPr>
        <w:t>i.e.</w:t>
      </w:r>
      <w:r>
        <w:rPr>
          <w:rFonts w:ascii="Arial" w:eastAsia="Arial" w:hAnsi="Arial" w:cs="Arial"/>
        </w:rPr>
        <w:t xml:space="preserve"> electrostatics (magenta), induction (purple), and dispersion (orange), for the molecules that reproduce the CO···HN</w:t>
      </w:r>
      <w:r>
        <w:rPr>
          <w:rFonts w:ascii="Arial" w:eastAsia="Arial" w:hAnsi="Arial" w:cs="Arial"/>
        </w:rPr>
        <w:t xml:space="preserve"> H-bonds (formamide) at the SAPT2+3/6-311++G(d,p) computational level.</w:t>
      </w:r>
    </w:p>
    <w:p w:rsidR="00D50A26" w:rsidRDefault="00D50A26">
      <w:pPr>
        <w:spacing w:before="119"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1"/>
                    <a:srcRect/>
                    <a:stretch>
                      <a:fillRect/>
                    </a:stretch>
                  </pic:blipFill>
                  <pic:spPr>
                    <a:xfrm>
                      <a:off x="0" y="0"/>
                      <a:ext cx="8618220" cy="4851400"/>
                    </a:xfrm>
                    <a:prstGeom prst="rect">
                      <a:avLst/>
                    </a:prstGeom>
                    <a:ln/>
                  </pic:spPr>
                </pic:pic>
              </a:graphicData>
            </a:graphic>
          </wp:inline>
        </w:drawing>
      </w:r>
      <w:r>
        <w:rPr>
          <w:rFonts w:ascii="Arial" w:eastAsia="Arial" w:hAnsi="Arial" w:cs="Arial"/>
          <w:b/>
        </w:rPr>
        <w:t xml:space="preserve">Figure S6. </w:t>
      </w:r>
      <w:r>
        <w:rPr>
          <w:rFonts w:ascii="Arial" w:eastAsia="Arial" w:hAnsi="Arial" w:cs="Arial"/>
        </w:rPr>
        <w:t xml:space="preserve">Percentage of each attractive component to the total attractive energy, </w:t>
      </w:r>
      <w:r>
        <w:rPr>
          <w:rFonts w:ascii="Arial" w:eastAsia="Arial" w:hAnsi="Arial" w:cs="Arial"/>
          <w:i/>
        </w:rPr>
        <w:t>i.e.</w:t>
      </w:r>
      <w:r>
        <w:rPr>
          <w:rFonts w:ascii="Arial" w:eastAsia="Arial" w:hAnsi="Arial" w:cs="Arial"/>
        </w:rPr>
        <w:t xml:space="preserve"> electrostatics (magenta), induction (purple), and dispersion (orange), for the molecules that r</w:t>
      </w:r>
      <w:r>
        <w:rPr>
          <w:rFonts w:ascii="Arial" w:eastAsia="Arial" w:hAnsi="Arial" w:cs="Arial"/>
        </w:rPr>
        <w:t>eproduce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(acetaldehyde) at the SAPT2+3/6-311++G(d,p) computational level.</w:t>
      </w:r>
    </w:p>
    <w:p w:rsidR="00D50A26" w:rsidRDefault="00D50A26">
      <w:pPr>
        <w:spacing w:before="119"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2"/>
                    <a:srcRect/>
                    <a:stretch>
                      <a:fillRect/>
                    </a:stretch>
                  </pic:blipFill>
                  <pic:spPr>
                    <a:xfrm>
                      <a:off x="0" y="0"/>
                      <a:ext cx="8618220" cy="4851400"/>
                    </a:xfrm>
                    <a:prstGeom prst="rect">
                      <a:avLst/>
                    </a:prstGeom>
                    <a:ln/>
                  </pic:spPr>
                </pic:pic>
              </a:graphicData>
            </a:graphic>
          </wp:inline>
        </w:drawing>
      </w:r>
      <w:r>
        <w:rPr>
          <w:rFonts w:ascii="Arial" w:eastAsia="Arial" w:hAnsi="Arial" w:cs="Arial"/>
          <w:b/>
        </w:rPr>
        <w:t xml:space="preserve">Figure S7. </w:t>
      </w:r>
      <w:r>
        <w:rPr>
          <w:rFonts w:ascii="Arial" w:eastAsia="Arial" w:hAnsi="Arial" w:cs="Arial"/>
        </w:rPr>
        <w:t xml:space="preserve">Percentage of each attractive component to the total attractive energy, </w:t>
      </w:r>
      <w:r>
        <w:rPr>
          <w:rFonts w:ascii="Arial" w:eastAsia="Arial" w:hAnsi="Arial" w:cs="Arial"/>
          <w:i/>
        </w:rPr>
        <w:t>i.e.</w:t>
      </w:r>
      <w:r>
        <w:rPr>
          <w:rFonts w:ascii="Arial" w:eastAsia="Arial" w:hAnsi="Arial" w:cs="Arial"/>
        </w:rPr>
        <w:t xml:space="preserve"> electrostatics (magenta), induction (purple), and dispersion (o</w:t>
      </w:r>
      <w:r>
        <w:rPr>
          <w:rFonts w:ascii="Arial" w:eastAsia="Arial" w:hAnsi="Arial" w:cs="Arial"/>
        </w:rPr>
        <w:t>range), for the molecules that reproduce the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H-bonds (acetaldehyde) at the SAPT2+3/6-311++G(d,p) computational level.</w:t>
      </w:r>
    </w:p>
    <w:p w:rsidR="00D50A26" w:rsidRDefault="00D50A26">
      <w:pPr>
        <w:spacing w:before="119" w:line="360" w:lineRule="auto"/>
        <w:jc w:val="both"/>
        <w:rPr>
          <w:rFonts w:ascii="Arial" w:eastAsia="Arial" w:hAnsi="Arial" w:cs="Arial"/>
        </w:rPr>
      </w:pPr>
    </w:p>
    <w:p w:rsidR="00D50A26" w:rsidRDefault="00F367A7">
      <w:pPr>
        <w:spacing w:before="119" w:line="360" w:lineRule="auto"/>
        <w:jc w:val="both"/>
        <w:rPr>
          <w:rFonts w:ascii="Arial" w:eastAsia="Arial" w:hAnsi="Arial" w:cs="Arial"/>
        </w:rPr>
      </w:pPr>
      <w:r>
        <w:rPr>
          <w:rFonts w:ascii="Arial" w:eastAsia="Arial" w:hAnsi="Arial" w:cs="Arial"/>
          <w:b/>
          <w:noProof/>
        </w:rPr>
        <w:lastRenderedPageBreak/>
        <w:drawing>
          <wp:inline distT="114300" distB="114300" distL="114300" distR="114300">
            <wp:extent cx="8618220" cy="4851400"/>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8618220" cy="4851400"/>
                    </a:xfrm>
                    <a:prstGeom prst="rect">
                      <a:avLst/>
                    </a:prstGeom>
                    <a:ln/>
                  </pic:spPr>
                </pic:pic>
              </a:graphicData>
            </a:graphic>
          </wp:inline>
        </w:drawing>
      </w:r>
      <w:r>
        <w:rPr>
          <w:rFonts w:ascii="Arial" w:eastAsia="Arial" w:hAnsi="Arial" w:cs="Arial"/>
          <w:b/>
        </w:rPr>
        <w:t xml:space="preserve">Figure S8. </w:t>
      </w:r>
      <w:r>
        <w:rPr>
          <w:rFonts w:ascii="Arial" w:eastAsia="Arial" w:hAnsi="Arial" w:cs="Arial"/>
        </w:rPr>
        <w:t xml:space="preserve">Percentage of each attractive component to the total attractive energy, </w:t>
      </w:r>
      <w:r>
        <w:rPr>
          <w:rFonts w:ascii="Arial" w:eastAsia="Arial" w:hAnsi="Arial" w:cs="Arial"/>
          <w:i/>
        </w:rPr>
        <w:t>i.e.</w:t>
      </w:r>
      <w:r>
        <w:rPr>
          <w:rFonts w:ascii="Arial" w:eastAsia="Arial" w:hAnsi="Arial" w:cs="Arial"/>
        </w:rPr>
        <w:t xml:space="preserve"> electrostatics (magenta), induction (purple), and dispersion (orange), for the molecules that reproduce the (CO)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H-bonds (acetaldehyde) at the SAPT2+3/6-311++G(d,p) computational level.</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tbl>
      <w:tblPr>
        <w:tblStyle w:val="ab"/>
        <w:tblpPr w:leftFromText="180" w:rightFromText="180" w:topFromText="180" w:bottomFromText="180" w:vertAnchor="text" w:tblpX="5"/>
        <w:tblW w:w="1356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4530"/>
        <w:gridCol w:w="4500"/>
        <w:gridCol w:w="4530"/>
      </w:tblGrid>
      <w:tr w:rsidR="00D50A26">
        <w:trPr>
          <w:trHeight w:val="256"/>
        </w:trPr>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lastRenderedPageBreak/>
              <w:t>Computational Parameter</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H-Bonding Intera</w:t>
            </w:r>
            <w:r>
              <w:rPr>
                <w:rFonts w:ascii="Arial" w:eastAsia="Arial" w:hAnsi="Arial" w:cs="Arial"/>
              </w:rPr>
              <w:t>ction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Mean Variation</w:t>
            </w:r>
          </w:p>
        </w:tc>
      </w:tr>
      <w:tr w:rsidR="00D50A26">
        <w:trPr>
          <w:trHeight w:val="256"/>
        </w:trPr>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HBS</w:t>
            </w:r>
          </w:p>
          <w:p w:rsidR="00D50A26" w:rsidRDefault="00F367A7">
            <w:pPr>
              <w:keepNext/>
              <w:jc w:val="center"/>
              <w:rPr>
                <w:rFonts w:ascii="Arial" w:eastAsia="Arial" w:hAnsi="Arial" w:cs="Arial"/>
              </w:rPr>
            </w:pPr>
            <w:r>
              <w:rPr>
                <w:rFonts w:ascii="Arial" w:eastAsia="Arial" w:hAnsi="Arial" w:cs="Arial"/>
              </w:rPr>
              <w:t>(kcal/mol)</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keepNext/>
              <w:jc w:val="center"/>
              <w:rPr>
                <w:rFonts w:ascii="Arial" w:eastAsia="Arial" w:hAnsi="Arial" w:cs="Arial"/>
              </w:rPr>
            </w:pPr>
            <w:r>
              <w:rPr>
                <w:rFonts w:ascii="Arial" w:eastAsia="Arial" w:hAnsi="Arial" w:cs="Arial"/>
              </w:rPr>
              <w:t>-3.12</w:t>
            </w:r>
          </w:p>
        </w:tc>
      </w:tr>
      <w:tr w:rsidR="00D50A26">
        <w:trPr>
          <w:trHeight w:val="414"/>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w:t>
            </w:r>
            <w:r>
              <w:rPr>
                <w:rFonts w:ascii="Arial" w:eastAsia="Arial" w:hAnsi="Arial" w:cs="Arial"/>
                <w:vertAlign w:val="subscript"/>
              </w:rPr>
              <w:t>2</w:t>
            </w:r>
            <w:r>
              <w:rPr>
                <w:rFonts w:ascii="Arial" w:eastAsia="Arial" w:hAnsi="Arial" w:cs="Arial"/>
              </w:rPr>
              <w:t>···(H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w:t>
            </w:r>
          </w:p>
        </w:tc>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t>-1.80</w:t>
            </w:r>
          </w:p>
        </w:tc>
      </w:tr>
      <w:tr w:rsidR="00D50A26">
        <w:trPr>
          <w:trHeight w:val="414"/>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keepNext/>
              <w:spacing w:line="360" w:lineRule="auto"/>
              <w:jc w:val="center"/>
            </w:pPr>
          </w:p>
        </w:tc>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keepNext/>
              <w:spacing w:line="360" w:lineRule="auto"/>
              <w:jc w:val="center"/>
              <w:rPr>
                <w:rFonts w:ascii="Arial" w:eastAsia="Arial" w:hAnsi="Arial" w:cs="Arial"/>
              </w:rPr>
            </w:pPr>
          </w:p>
        </w:tc>
      </w:tr>
      <w:tr w:rsidR="00D50A26">
        <w:trPr>
          <w:trHeight w:val="270"/>
        </w:trPr>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q(σ*)</w:t>
            </w:r>
          </w:p>
          <w:p w:rsidR="00D50A26" w:rsidRDefault="00F367A7">
            <w:pPr>
              <w:keepNext/>
              <w:jc w:val="center"/>
            </w:pPr>
            <w:r>
              <w:rPr>
                <w:rFonts w:ascii="Arial" w:eastAsia="Arial" w:hAnsi="Arial" w:cs="Arial"/>
              </w:rPr>
              <w:t>(10</w:t>
            </w:r>
            <w:r>
              <w:rPr>
                <w:rFonts w:ascii="Arial" w:eastAsia="Arial" w:hAnsi="Arial" w:cs="Arial"/>
                <w:vertAlign w:val="superscript"/>
              </w:rPr>
              <w:t>-2</w:t>
            </w:r>
            <w:r>
              <w:rPr>
                <w:rFonts w:ascii="Arial" w:eastAsia="Arial" w:hAnsi="Arial" w:cs="Arial"/>
              </w:rPr>
              <w:t xml:space="preserve"> electrons)</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keepNext/>
              <w:jc w:val="center"/>
              <w:rPr>
                <w:rFonts w:ascii="Arial" w:eastAsia="Arial" w:hAnsi="Arial" w:cs="Arial"/>
              </w:rPr>
            </w:pPr>
            <w:r>
              <w:rPr>
                <w:rFonts w:ascii="Arial" w:eastAsia="Arial" w:hAnsi="Arial" w:cs="Arial"/>
              </w:rPr>
              <w:t>0.056</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keepNext/>
              <w:jc w:val="center"/>
              <w:rPr>
                <w:rFonts w:ascii="Arial" w:eastAsia="Arial" w:hAnsi="Arial" w:cs="Arial"/>
              </w:rPr>
            </w:pPr>
            <w:r>
              <w:rPr>
                <w:rFonts w:ascii="Arial" w:eastAsia="Arial" w:hAnsi="Arial" w:cs="Arial"/>
              </w:rPr>
              <w:t>0.012</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keepNext/>
              <w:jc w:val="center"/>
              <w:rPr>
                <w:rFonts w:ascii="Arial" w:eastAsia="Arial" w:hAnsi="Arial" w:cs="Arial"/>
              </w:rPr>
            </w:pPr>
            <w:r>
              <w:rPr>
                <w:rFonts w:ascii="Arial" w:eastAsia="Arial" w:hAnsi="Arial" w:cs="Arial"/>
              </w:rPr>
              <w:t>-0.003</w:t>
            </w:r>
          </w:p>
        </w:tc>
      </w:tr>
      <w:tr w:rsidR="00D50A26">
        <w:trPr>
          <w:trHeight w:val="256"/>
        </w:trPr>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E(2)</w:t>
            </w:r>
          </w:p>
          <w:p w:rsidR="00D50A26" w:rsidRDefault="00F367A7">
            <w:pPr>
              <w:keepNext/>
              <w:jc w:val="center"/>
              <w:rPr>
                <w:rFonts w:ascii="Arial" w:eastAsia="Arial" w:hAnsi="Arial" w:cs="Arial"/>
              </w:rPr>
            </w:pPr>
            <w:r>
              <w:rPr>
                <w:rFonts w:ascii="Arial" w:eastAsia="Arial" w:hAnsi="Arial" w:cs="Arial"/>
              </w:rPr>
              <w:t>(kcal/mol)</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0.311</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0.021</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-0.004</w:t>
            </w:r>
          </w:p>
        </w:tc>
      </w:tr>
      <w:tr w:rsidR="00D50A26">
        <w:trPr>
          <w:trHeight w:val="256"/>
        </w:trPr>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ρ(BCP)</w:t>
            </w:r>
          </w:p>
          <w:p w:rsidR="00D50A26" w:rsidRDefault="00F367A7">
            <w:pPr>
              <w:keepNext/>
              <w:jc w:val="center"/>
            </w:pPr>
            <w:r>
              <w:rPr>
                <w:rFonts w:ascii="Arial" w:eastAsia="Arial" w:hAnsi="Arial" w:cs="Arial"/>
              </w:rPr>
              <w:t>(10</w:t>
            </w:r>
            <w:r>
              <w:rPr>
                <w:rFonts w:ascii="Arial" w:eastAsia="Arial" w:hAnsi="Arial" w:cs="Arial"/>
                <w:vertAlign w:val="superscript"/>
              </w:rPr>
              <w:t>-2</w:t>
            </w:r>
            <w:r>
              <w:rPr>
                <w:rFonts w:ascii="Arial" w:eastAsia="Arial" w:hAnsi="Arial" w:cs="Arial"/>
              </w:rPr>
              <w:t xml:space="preserve"> au)</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-0.002</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0.003</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0.000</w:t>
            </w:r>
          </w:p>
        </w:tc>
      </w:tr>
      <w:tr w:rsidR="00D50A26">
        <w:trPr>
          <w:trHeight w:val="256"/>
        </w:trPr>
        <w:tc>
          <w:tcPr>
            <w:tcW w:w="453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Unicode MS" w:eastAsia="Arial Unicode MS" w:hAnsi="Arial Unicode MS" w:cs="Arial Unicode MS"/>
              </w:rPr>
              <w:t>∇²ρ(BCP)</w:t>
            </w:r>
          </w:p>
          <w:p w:rsidR="00D50A26" w:rsidRDefault="00F367A7">
            <w:pPr>
              <w:keepNext/>
              <w:jc w:val="center"/>
            </w:pPr>
            <w:r>
              <w:rPr>
                <w:rFonts w:ascii="Arial" w:eastAsia="Arial" w:hAnsi="Arial" w:cs="Arial"/>
              </w:rPr>
              <w:t>(10</w:t>
            </w:r>
            <w:r>
              <w:rPr>
                <w:rFonts w:ascii="Arial" w:eastAsia="Arial" w:hAnsi="Arial" w:cs="Arial"/>
                <w:vertAlign w:val="superscript"/>
              </w:rPr>
              <w:t>-2</w:t>
            </w:r>
            <w:r>
              <w:rPr>
                <w:rFonts w:ascii="Arial" w:eastAsia="Arial" w:hAnsi="Arial" w:cs="Arial"/>
              </w:rPr>
              <w:t xml:space="preserve"> au)</w:t>
            </w: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-0.081</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-0.003</w:t>
            </w:r>
          </w:p>
        </w:tc>
      </w:tr>
      <w:tr w:rsidR="00D50A26">
        <w:trPr>
          <w:trHeight w:val="256"/>
        </w:trPr>
        <w:tc>
          <w:tcPr>
            <w:tcW w:w="453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rPr>
                <w:rFonts w:ascii="Arial" w:eastAsia="Arial" w:hAnsi="Arial" w:cs="Arial"/>
              </w:rPr>
            </w:pPr>
          </w:p>
        </w:tc>
        <w:tc>
          <w:tcPr>
            <w:tcW w:w="450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w:t>
            </w:r>
          </w:p>
        </w:tc>
        <w:tc>
          <w:tcPr>
            <w:tcW w:w="453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0.008</w:t>
            </w:r>
          </w:p>
        </w:tc>
      </w:tr>
    </w:tbl>
    <w:p w:rsidR="00D50A26" w:rsidRDefault="00F367A7">
      <w:pPr>
        <w:spacing w:before="119" w:line="360" w:lineRule="auto"/>
        <w:jc w:val="both"/>
      </w:pPr>
      <w:r>
        <w:rPr>
          <w:rFonts w:ascii="Arial" w:eastAsia="Arial" w:hAnsi="Arial" w:cs="Arial"/>
          <w:b/>
        </w:rPr>
        <w:t>Table S10.</w:t>
      </w:r>
      <w:r>
        <w:rPr>
          <w:rFonts w:ascii="Arial" w:eastAsia="Arial" w:hAnsi="Arial" w:cs="Arial"/>
        </w:rPr>
        <w:t xml:space="preserve"> Mean variation of the HBS </w:t>
      </w:r>
      <w:r>
        <w:rPr>
          <w:rFonts w:ascii="Arial" w:eastAsia="Arial" w:hAnsi="Arial" w:cs="Arial"/>
        </w:rPr>
        <w:t>between the molecules that reproduce each CO···HN (formamide) and CO···(H</w:t>
      </w:r>
      <w:r>
        <w:rPr>
          <w:rFonts w:ascii="Arial" w:eastAsia="Arial" w:hAnsi="Arial" w:cs="Arial"/>
          <w:vertAlign w:val="subscript"/>
        </w:rPr>
        <w:t>α</w:t>
      </w:r>
      <w:r>
        <w:rPr>
          <w:rFonts w:ascii="Arial" w:eastAsia="Arial" w:hAnsi="Arial" w:cs="Arial"/>
        </w:rPr>
        <w:t>)</w:t>
      </w:r>
      <w:r>
        <w:rPr>
          <w:rFonts w:ascii="Arial" w:eastAsia="Arial" w:hAnsi="Arial" w:cs="Arial"/>
          <w:vertAlign w:val="subscript"/>
        </w:rPr>
        <w:t>2</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proximal+distal (N-(2-oxoethyl)formamide) H-bond, and occupancy (q) of the corresponding σ*(NH/C</w:t>
      </w:r>
      <w:r>
        <w:rPr>
          <w:rFonts w:ascii="Arial" w:eastAsia="Arial" w:hAnsi="Arial" w:cs="Arial"/>
          <w:vertAlign w:val="subscript"/>
        </w:rPr>
        <w:t>α</w:t>
      </w:r>
      <w:r>
        <w:rPr>
          <w:rFonts w:ascii="Arial" w:eastAsia="Arial" w:hAnsi="Arial" w:cs="Arial"/>
        </w:rPr>
        <w:t>H</w:t>
      </w:r>
      <w:r>
        <w:rPr>
          <w:rFonts w:ascii="Arial" w:eastAsia="Arial" w:hAnsi="Arial" w:cs="Arial"/>
          <w:vertAlign w:val="subscript"/>
        </w:rPr>
        <w:t>α</w:t>
      </w:r>
      <w:r>
        <w:rPr>
          <w:rFonts w:ascii="Arial Unicode MS" w:eastAsia="Arial Unicode MS" w:hAnsi="Arial Unicode MS" w:cs="Arial Unicode MS"/>
        </w:rPr>
        <w:t>) orbitals, stabilization energy (E(2)) of the corresponding n(O)/σ(CO)/π(CO)→</w:t>
      </w:r>
      <w:r>
        <w:rPr>
          <w:rFonts w:ascii="Arial Unicode MS" w:eastAsia="Arial Unicode MS" w:hAnsi="Arial Unicode MS" w:cs="Arial Unicode MS"/>
        </w:rPr>
        <w:t>σ*(NH/C</w:t>
      </w:r>
      <w:r>
        <w:rPr>
          <w:rFonts w:ascii="Arial" w:eastAsia="Arial" w:hAnsi="Arial" w:cs="Arial"/>
          <w:vertAlign w:val="subscript"/>
        </w:rPr>
        <w:t>α</w:t>
      </w:r>
      <w:r>
        <w:rPr>
          <w:rFonts w:ascii="Arial" w:eastAsia="Arial" w:hAnsi="Arial" w:cs="Arial"/>
        </w:rPr>
        <w:t>H</w:t>
      </w:r>
      <w:r>
        <w:rPr>
          <w:rFonts w:ascii="Arial" w:eastAsia="Arial" w:hAnsi="Arial" w:cs="Arial"/>
          <w:vertAlign w:val="subscript"/>
        </w:rPr>
        <w:t>α</w:t>
      </w:r>
      <w:r>
        <w:rPr>
          <w:rFonts w:ascii="Arial" w:eastAsia="Arial" w:hAnsi="Arial" w:cs="Arial"/>
        </w:rPr>
        <w:t>) electron delocalization, electron density (ρ) of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Unicode MS" w:eastAsia="Arial Unicode MS" w:hAnsi="Arial Unicode MS" w:cs="Arial Unicode MS"/>
        </w:rPr>
        <w:t>) and Laplacian of the electron density (∇²ρ) of the corresponding BCPs</w:t>
      </w:r>
      <w:r>
        <w:rPr>
          <w:rFonts w:ascii="Arial" w:eastAsia="Arial" w:hAnsi="Arial" w:cs="Arial"/>
          <w:color w:val="000000"/>
        </w:rPr>
        <w:t>(</w:t>
      </w:r>
      <w:r>
        <w:rPr>
          <w:rFonts w:ascii="Arial" w:eastAsia="Arial" w:hAnsi="Arial" w:cs="Arial"/>
        </w:rPr>
        <w:t>Ọ···H</w:t>
      </w:r>
      <w:r>
        <w:rPr>
          <w:rFonts w:ascii="Arial" w:eastAsia="Arial" w:hAnsi="Arial" w:cs="Arial"/>
          <w:vertAlign w:val="subscript"/>
        </w:rPr>
        <w:t>N</w:t>
      </w:r>
      <w:r>
        <w:rPr>
          <w:rFonts w:ascii="Arial" w:eastAsia="Arial" w:hAnsi="Arial" w:cs="Arial"/>
        </w:rPr>
        <w:t>/H</w:t>
      </w:r>
      <w:r>
        <w:rPr>
          <w:rFonts w:ascii="Arial" w:eastAsia="Arial" w:hAnsi="Arial" w:cs="Arial"/>
          <w:vertAlign w:val="subscript"/>
        </w:rPr>
        <w:t>α</w:t>
      </w:r>
      <w:r>
        <w:rPr>
          <w:rFonts w:ascii="Arial" w:eastAsia="Arial" w:hAnsi="Arial" w:cs="Arial"/>
        </w:rPr>
        <w:t>) for each CO···HN,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and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H-bond between antip</w:t>
      </w:r>
      <w:r>
        <w:rPr>
          <w:rFonts w:ascii="Arial" w:eastAsia="Arial" w:hAnsi="Arial" w:cs="Arial"/>
        </w:rPr>
        <w:t>arallel PPII helices.</w:t>
      </w: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tbl>
      <w:tblPr>
        <w:tblStyle w:val="ac"/>
        <w:tblpPr w:leftFromText="180" w:rightFromText="180" w:topFromText="180" w:bottomFromText="180" w:vertAnchor="text" w:tblpX="5"/>
        <w:tblW w:w="13560" w:type="dxa"/>
        <w:tblInd w:w="0" w:type="dxa"/>
        <w:tblBorders>
          <w:top w:val="single" w:sz="6" w:space="0" w:color="000000"/>
          <w:left w:val="single" w:sz="6" w:space="0" w:color="000000"/>
          <w:bottom w:val="single" w:sz="6" w:space="0" w:color="000000"/>
          <w:insideH w:val="single" w:sz="6" w:space="0" w:color="000000"/>
        </w:tblBorders>
        <w:tblLayout w:type="fixed"/>
        <w:tblLook w:val="0000" w:firstRow="0" w:lastRow="0" w:firstColumn="0" w:lastColumn="0" w:noHBand="0" w:noVBand="0"/>
      </w:tblPr>
      <w:tblGrid>
        <w:gridCol w:w="3840"/>
        <w:gridCol w:w="3194"/>
        <w:gridCol w:w="2220"/>
        <w:gridCol w:w="2160"/>
        <w:gridCol w:w="2146"/>
      </w:tblGrid>
      <w:tr w:rsidR="00D50A26">
        <w:trPr>
          <w:trHeight w:val="256"/>
        </w:trPr>
        <w:tc>
          <w:tcPr>
            <w:tcW w:w="3840" w:type="dxa"/>
            <w:vMerge w:val="restart"/>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b/>
              </w:rPr>
            </w:pPr>
            <w:r>
              <w:rPr>
                <w:rFonts w:ascii="Arial" w:eastAsia="Arial" w:hAnsi="Arial" w:cs="Arial"/>
                <w:b/>
              </w:rPr>
              <w:t>d(O-H) (Å)</w:t>
            </w:r>
          </w:p>
        </w:tc>
        <w:tc>
          <w:tcPr>
            <w:tcW w:w="9720" w:type="dxa"/>
            <w:gridSpan w:val="4"/>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pPr>
            <w:r>
              <w:rPr>
                <w:rFonts w:ascii="Arial" w:eastAsia="Arial" w:hAnsi="Arial" w:cs="Arial"/>
              </w:rPr>
              <w:t>Number of PPII helices</w:t>
            </w:r>
          </w:p>
        </w:tc>
      </w:tr>
      <w:tr w:rsidR="00D50A26">
        <w:trPr>
          <w:trHeight w:val="260"/>
        </w:trPr>
        <w:tc>
          <w:tcPr>
            <w:tcW w:w="3840" w:type="dxa"/>
            <w:vMerge/>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D50A26">
            <w:pPr>
              <w:widowControl w:val="0"/>
              <w:spacing w:line="360" w:lineRule="auto"/>
            </w:pPr>
          </w:p>
        </w:tc>
        <w:tc>
          <w:tcPr>
            <w:tcW w:w="319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2</w:t>
            </w:r>
          </w:p>
        </w:tc>
        <w:tc>
          <w:tcPr>
            <w:tcW w:w="222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3</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4</w:t>
            </w:r>
          </w:p>
        </w:tc>
        <w:tc>
          <w:tcPr>
            <w:tcW w:w="2146"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bottom"/>
          </w:tcPr>
          <w:p w:rsidR="00D50A26" w:rsidRDefault="00F367A7">
            <w:pPr>
              <w:jc w:val="center"/>
              <w:rPr>
                <w:rFonts w:ascii="Arial" w:eastAsia="Arial" w:hAnsi="Arial" w:cs="Arial"/>
              </w:rPr>
            </w:pPr>
            <w:r>
              <w:rPr>
                <w:rFonts w:ascii="Arial" w:eastAsia="Arial" w:hAnsi="Arial" w:cs="Arial"/>
              </w:rPr>
              <w:t>5</w:t>
            </w:r>
          </w:p>
        </w:tc>
      </w:tr>
      <w:tr w:rsidR="00D50A26">
        <w:trPr>
          <w:trHeight w:val="256"/>
        </w:trPr>
        <w:tc>
          <w:tcPr>
            <w:tcW w:w="384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rPr>
                <w:rFonts w:ascii="Arial" w:eastAsia="Arial" w:hAnsi="Arial" w:cs="Arial"/>
              </w:rPr>
            </w:pPr>
            <w:r>
              <w:rPr>
                <w:rFonts w:ascii="Arial" w:eastAsia="Arial" w:hAnsi="Arial" w:cs="Arial"/>
              </w:rPr>
              <w:t>CO···HN</w:t>
            </w:r>
          </w:p>
        </w:tc>
        <w:tc>
          <w:tcPr>
            <w:tcW w:w="319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1.83</w:t>
            </w:r>
          </w:p>
        </w:tc>
        <w:tc>
          <w:tcPr>
            <w:tcW w:w="222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1.77</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1.76</w:t>
            </w:r>
          </w:p>
        </w:tc>
        <w:tc>
          <w:tcPr>
            <w:tcW w:w="2146"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1.77</w:t>
            </w:r>
          </w:p>
        </w:tc>
      </w:tr>
      <w:tr w:rsidR="00D50A26">
        <w:trPr>
          <w:trHeight w:val="256"/>
        </w:trPr>
        <w:tc>
          <w:tcPr>
            <w:tcW w:w="384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w:t>
            </w:r>
          </w:p>
        </w:tc>
        <w:tc>
          <w:tcPr>
            <w:tcW w:w="319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2.28</w:t>
            </w:r>
          </w:p>
        </w:tc>
        <w:tc>
          <w:tcPr>
            <w:tcW w:w="222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2.25</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2.25</w:t>
            </w:r>
          </w:p>
        </w:tc>
        <w:tc>
          <w:tcPr>
            <w:tcW w:w="2146"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2.34</w:t>
            </w:r>
          </w:p>
        </w:tc>
      </w:tr>
      <w:tr w:rsidR="00D50A26">
        <w:trPr>
          <w:trHeight w:val="256"/>
        </w:trPr>
        <w:tc>
          <w:tcPr>
            <w:tcW w:w="384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keepNext/>
              <w:jc w:val="center"/>
            </w:pPr>
            <w:r>
              <w:rPr>
                <w:rFonts w:ascii="Arial" w:eastAsia="Arial" w:hAnsi="Arial" w:cs="Arial"/>
              </w:rPr>
              <w:t>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w:t>
            </w:r>
          </w:p>
        </w:tc>
        <w:tc>
          <w:tcPr>
            <w:tcW w:w="3194"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2.67</w:t>
            </w:r>
          </w:p>
        </w:tc>
        <w:tc>
          <w:tcPr>
            <w:tcW w:w="222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2.66</w:t>
            </w:r>
          </w:p>
        </w:tc>
        <w:tc>
          <w:tcPr>
            <w:tcW w:w="2160"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2.65</w:t>
            </w:r>
          </w:p>
        </w:tc>
        <w:tc>
          <w:tcPr>
            <w:tcW w:w="2146" w:type="dxa"/>
            <w:tcBorders>
              <w:top w:val="single" w:sz="6" w:space="0" w:color="000000"/>
              <w:left w:val="single" w:sz="6" w:space="0" w:color="000000"/>
              <w:bottom w:val="single" w:sz="6" w:space="0" w:color="000000"/>
              <w:right w:val="single" w:sz="6" w:space="0" w:color="000000"/>
            </w:tcBorders>
            <w:tcMar>
              <w:top w:w="0" w:type="dxa"/>
              <w:left w:w="107" w:type="dxa"/>
              <w:bottom w:w="0" w:type="dxa"/>
              <w:right w:w="108" w:type="dxa"/>
            </w:tcMar>
            <w:vAlign w:val="center"/>
          </w:tcPr>
          <w:p w:rsidR="00D50A26" w:rsidRDefault="00F367A7">
            <w:pPr>
              <w:jc w:val="center"/>
              <w:rPr>
                <w:rFonts w:ascii="Arial" w:eastAsia="Arial" w:hAnsi="Arial" w:cs="Arial"/>
              </w:rPr>
            </w:pPr>
            <w:r>
              <w:rPr>
                <w:rFonts w:ascii="Arial" w:eastAsia="Arial" w:hAnsi="Arial" w:cs="Arial"/>
              </w:rPr>
              <w:t>2.57</w:t>
            </w:r>
          </w:p>
        </w:tc>
      </w:tr>
    </w:tbl>
    <w:p w:rsidR="00D50A26" w:rsidRDefault="00F367A7">
      <w:pPr>
        <w:spacing w:before="119" w:line="360" w:lineRule="auto"/>
        <w:jc w:val="both"/>
        <w:rPr>
          <w:rFonts w:ascii="Arial" w:eastAsia="Arial" w:hAnsi="Arial" w:cs="Arial"/>
          <w:color w:val="000000"/>
        </w:rPr>
      </w:pPr>
      <w:r>
        <w:rPr>
          <w:rFonts w:ascii="Arial" w:eastAsia="Arial" w:hAnsi="Arial" w:cs="Arial"/>
          <w:b/>
          <w:color w:val="000000"/>
        </w:rPr>
        <w:t>Table S</w:t>
      </w:r>
      <w:r>
        <w:rPr>
          <w:rFonts w:ascii="Arial" w:eastAsia="Arial" w:hAnsi="Arial" w:cs="Arial"/>
          <w:b/>
        </w:rPr>
        <w:t>11</w:t>
      </w:r>
      <w:r>
        <w:rPr>
          <w:rFonts w:ascii="Arial" w:eastAsia="Arial" w:hAnsi="Arial" w:cs="Arial"/>
          <w:color w:val="000000"/>
        </w:rPr>
        <w:t xml:space="preserve">. Mean distance between </w:t>
      </w:r>
      <w:r>
        <w:rPr>
          <w:rFonts w:ascii="Arial" w:eastAsia="Arial" w:hAnsi="Arial" w:cs="Arial"/>
        </w:rPr>
        <w:t>oxygen</w:t>
      </w:r>
      <w:r>
        <w:rPr>
          <w:rFonts w:ascii="Arial" w:eastAsia="Arial" w:hAnsi="Arial" w:cs="Arial"/>
          <w:color w:val="000000"/>
        </w:rPr>
        <w:t xml:space="preserve"> and </w:t>
      </w:r>
      <w:r>
        <w:rPr>
          <w:rFonts w:ascii="Arial" w:eastAsia="Arial" w:hAnsi="Arial" w:cs="Arial"/>
        </w:rPr>
        <w:t>hydrogen</w:t>
      </w:r>
      <w:r>
        <w:rPr>
          <w:rFonts w:ascii="Arial" w:eastAsia="Arial" w:hAnsi="Arial" w:cs="Arial"/>
          <w:color w:val="000000"/>
        </w:rPr>
        <w:t xml:space="preserve"> atoms of CO···HN,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proximal</w:t>
      </w:r>
      <w:r>
        <w:rPr>
          <w:rFonts w:ascii="Arial" w:eastAsia="Arial" w:hAnsi="Arial" w:cs="Arial"/>
          <w:color w:val="000000"/>
        </w:rPr>
        <w:t xml:space="preserve"> and CO···H</w:t>
      </w:r>
      <w:r>
        <w:rPr>
          <w:rFonts w:ascii="Arial" w:eastAsia="Arial" w:hAnsi="Arial" w:cs="Arial"/>
          <w:color w:val="000000"/>
          <w:vertAlign w:val="subscript"/>
        </w:rPr>
        <w:t>α</w:t>
      </w:r>
      <w:r>
        <w:rPr>
          <w:rFonts w:ascii="Arial" w:eastAsia="Arial" w:hAnsi="Arial" w:cs="Arial"/>
          <w:color w:val="000000"/>
        </w:rPr>
        <w:t>C</w:t>
      </w:r>
      <w:r>
        <w:rPr>
          <w:rFonts w:ascii="Arial" w:eastAsia="Arial" w:hAnsi="Arial" w:cs="Arial"/>
          <w:color w:val="000000"/>
          <w:vertAlign w:val="subscript"/>
        </w:rPr>
        <w:t>α</w:t>
      </w:r>
      <w:r>
        <w:rPr>
          <w:rFonts w:ascii="Arial" w:eastAsia="Arial" w:hAnsi="Arial" w:cs="Arial"/>
          <w:color w:val="000000"/>
        </w:rPr>
        <w:t xml:space="preserve"> </w:t>
      </w:r>
      <w:r>
        <w:rPr>
          <w:rFonts w:ascii="Arial" w:eastAsia="Arial" w:hAnsi="Arial" w:cs="Arial"/>
        </w:rPr>
        <w:t>distal</w:t>
      </w:r>
      <w:r>
        <w:rPr>
          <w:rFonts w:ascii="Arial" w:eastAsia="Arial" w:hAnsi="Arial" w:cs="Arial"/>
          <w:color w:val="000000"/>
        </w:rPr>
        <w:t xml:space="preserve"> H-bonds between</w:t>
      </w:r>
      <w:r>
        <w:rPr>
          <w:rFonts w:ascii="Arial" w:eastAsia="Arial" w:hAnsi="Arial" w:cs="Arial"/>
        </w:rPr>
        <w:t xml:space="preserve"> antiparallel </w:t>
      </w:r>
      <w:r>
        <w:rPr>
          <w:rFonts w:ascii="Arial" w:eastAsia="Arial" w:hAnsi="Arial" w:cs="Arial"/>
          <w:color w:val="000000"/>
        </w:rPr>
        <w:t>PPII helices.</w:t>
      </w: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both"/>
        <w:rPr>
          <w:rFonts w:ascii="Arial" w:eastAsia="Arial" w:hAnsi="Arial" w:cs="Arial"/>
        </w:rPr>
      </w:pPr>
    </w:p>
    <w:p w:rsidR="00D50A26" w:rsidRDefault="00D50A26">
      <w:pPr>
        <w:spacing w:line="360" w:lineRule="auto"/>
        <w:jc w:val="center"/>
        <w:rPr>
          <w:rFonts w:ascii="Arial" w:eastAsia="Arial" w:hAnsi="Arial" w:cs="Arial"/>
        </w:rPr>
      </w:pPr>
    </w:p>
    <w:p w:rsidR="00D50A26" w:rsidRDefault="00F367A7">
      <w:pPr>
        <w:spacing w:line="360" w:lineRule="auto"/>
        <w:jc w:val="both"/>
        <w:rPr>
          <w:rFonts w:ascii="Arial" w:eastAsia="Arial" w:hAnsi="Arial" w:cs="Arial"/>
        </w:rPr>
      </w:pPr>
      <w:r>
        <w:rPr>
          <w:rFonts w:ascii="Arial" w:eastAsia="Arial" w:hAnsi="Arial" w:cs="Arial"/>
          <w:b/>
          <w:noProof/>
        </w:rPr>
        <w:drawing>
          <wp:inline distT="114300" distB="114300" distL="114300" distR="114300">
            <wp:extent cx="8618220" cy="4851400"/>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4"/>
                    <a:srcRect/>
                    <a:stretch>
                      <a:fillRect/>
                    </a:stretch>
                  </pic:blipFill>
                  <pic:spPr>
                    <a:xfrm>
                      <a:off x="0" y="0"/>
                      <a:ext cx="8618220" cy="4851400"/>
                    </a:xfrm>
                    <a:prstGeom prst="rect">
                      <a:avLst/>
                    </a:prstGeom>
                    <a:ln/>
                  </pic:spPr>
                </pic:pic>
              </a:graphicData>
            </a:graphic>
          </wp:inline>
        </w:drawing>
      </w:r>
      <w:r>
        <w:rPr>
          <w:rFonts w:ascii="Arial" w:eastAsia="Arial" w:hAnsi="Arial" w:cs="Arial"/>
          <w:b/>
        </w:rPr>
        <w:t>Figure S9</w:t>
      </w:r>
      <w:r>
        <w:rPr>
          <w:rFonts w:ascii="Arial" w:eastAsia="Arial" w:hAnsi="Arial" w:cs="Arial"/>
        </w:rPr>
        <w:t>. Mean distance between oxygen and hydrogen atoms of CO···HN (squares, purple), CO···H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proximal (triangles, magenta) and CO··</w:t>
      </w:r>
      <w:r>
        <w:rPr>
          <w:rFonts w:ascii="Arial" w:eastAsia="Arial" w:hAnsi="Arial" w:cs="Arial"/>
        </w:rPr>
        <w:t>·H</w:t>
      </w:r>
      <w:r>
        <w:rPr>
          <w:rFonts w:ascii="Arial" w:eastAsia="Arial" w:hAnsi="Arial" w:cs="Arial"/>
          <w:vertAlign w:val="subscript"/>
        </w:rPr>
        <w:t>α</w:t>
      </w:r>
      <w:r>
        <w:rPr>
          <w:rFonts w:ascii="Arial" w:eastAsia="Arial" w:hAnsi="Arial" w:cs="Arial"/>
        </w:rPr>
        <w:t>C</w:t>
      </w:r>
      <w:r>
        <w:rPr>
          <w:rFonts w:ascii="Arial" w:eastAsia="Arial" w:hAnsi="Arial" w:cs="Arial"/>
          <w:vertAlign w:val="subscript"/>
        </w:rPr>
        <w:t>α</w:t>
      </w:r>
      <w:r>
        <w:rPr>
          <w:rFonts w:ascii="Arial" w:eastAsia="Arial" w:hAnsi="Arial" w:cs="Arial"/>
        </w:rPr>
        <w:t xml:space="preserve"> distal (inverted triangles, orange) H-bonds between antiparallel PPII helices.</w:t>
      </w:r>
    </w:p>
    <w:p w:rsidR="00D50A26" w:rsidRDefault="00D50A26">
      <w:pPr>
        <w:spacing w:line="360" w:lineRule="auto"/>
        <w:jc w:val="both"/>
        <w:rPr>
          <w:rFonts w:ascii="Arial" w:eastAsia="Arial" w:hAnsi="Arial" w:cs="Arial"/>
        </w:rPr>
        <w:sectPr w:rsidR="00D50A26">
          <w:pgSz w:w="15840" w:h="12240" w:orient="landscape"/>
          <w:pgMar w:top="1134" w:right="1134" w:bottom="1134" w:left="1134" w:header="0" w:footer="850" w:gutter="0"/>
          <w:cols w:space="720"/>
        </w:sectPr>
      </w:pPr>
    </w:p>
    <w:p w:rsidR="00D50A26" w:rsidRDefault="00F367A7">
      <w:pPr>
        <w:spacing w:line="360" w:lineRule="auto"/>
        <w:jc w:val="both"/>
        <w:rPr>
          <w:rFonts w:ascii="Arial" w:eastAsia="Arial" w:hAnsi="Arial" w:cs="Arial"/>
          <w:b/>
          <w:u w:val="single"/>
        </w:rPr>
      </w:pPr>
      <w:r>
        <w:rPr>
          <w:rFonts w:ascii="Arial" w:eastAsia="Arial" w:hAnsi="Arial" w:cs="Arial"/>
          <w:b/>
          <w:u w:val="single"/>
        </w:rPr>
        <w:lastRenderedPageBreak/>
        <w:t>BIBLIOGRAPHY</w:t>
      </w:r>
    </w:p>
    <w:p w:rsidR="00D50A26" w:rsidRDefault="00D50A26">
      <w:pPr>
        <w:spacing w:line="360" w:lineRule="auto"/>
        <w:jc w:val="both"/>
        <w:rPr>
          <w:rFonts w:ascii="Arial" w:eastAsia="Arial" w:hAnsi="Arial" w:cs="Arial"/>
        </w:rPr>
      </w:pPr>
    </w:p>
    <w:p w:rsidR="00D50A26" w:rsidRDefault="00F367A7">
      <w:pPr>
        <w:spacing w:line="360" w:lineRule="auto"/>
        <w:ind w:left="384" w:hanging="384"/>
        <w:jc w:val="both"/>
        <w:rPr>
          <w:rFonts w:ascii="Arial" w:eastAsia="Arial" w:hAnsi="Arial" w:cs="Arial"/>
        </w:rPr>
      </w:pPr>
      <w:hyperlink r:id="rId25">
        <w:r>
          <w:t>(1)</w:t>
        </w:r>
        <w:r>
          <w:tab/>
          <w:t xml:space="preserve">Bader, R. F. W. Atoms in Molecules. </w:t>
        </w:r>
      </w:hyperlink>
      <w:hyperlink r:id="rId26">
        <w:r>
          <w:rPr>
            <w:i/>
          </w:rPr>
          <w:t xml:space="preserve">Acc. Chem. Res. </w:t>
        </w:r>
      </w:hyperlink>
      <w:hyperlink r:id="rId27">
        <w:r>
          <w:rPr>
            <w:b/>
          </w:rPr>
          <w:t>1985</w:t>
        </w:r>
      </w:hyperlink>
      <w:hyperlink r:id="rId28">
        <w:r>
          <w:t xml:space="preserve">, </w:t>
        </w:r>
      </w:hyperlink>
      <w:hyperlink r:id="rId29">
        <w:r>
          <w:rPr>
            <w:i/>
          </w:rPr>
          <w:t>18</w:t>
        </w:r>
      </w:hyperlink>
      <w:hyperlink r:id="rId30">
        <w:r>
          <w:t xml:space="preserve"> (1), 9–15.</w:t>
        </w:r>
      </w:hyperlink>
    </w:p>
    <w:p w:rsidR="00D50A26" w:rsidRDefault="00F367A7">
      <w:pPr>
        <w:widowControl w:val="0"/>
        <w:pBdr>
          <w:top w:val="nil"/>
          <w:left w:val="nil"/>
          <w:bottom w:val="nil"/>
          <w:right w:val="nil"/>
          <w:between w:val="nil"/>
        </w:pBdr>
        <w:spacing w:line="360" w:lineRule="auto"/>
        <w:ind w:left="384" w:hanging="384"/>
        <w:rPr>
          <w:rFonts w:ascii="Arial" w:eastAsia="Arial" w:hAnsi="Arial" w:cs="Arial"/>
        </w:rPr>
      </w:pPr>
      <w:hyperlink r:id="rId31">
        <w:r>
          <w:t>(2)</w:t>
        </w:r>
        <w:r>
          <w:tab/>
          <w:t xml:space="preserve">Bader, R. F. W. </w:t>
        </w:r>
      </w:hyperlink>
      <w:hyperlink r:id="rId32">
        <w:r>
          <w:rPr>
            <w:i/>
          </w:rPr>
          <w:t>Atoms in Molecules: A Quantum Theory</w:t>
        </w:r>
      </w:hyperlink>
      <w:hyperlink r:id="rId33">
        <w:r>
          <w:t xml:space="preserve">; Clarendon Press, </w:t>
        </w:r>
      </w:hyperlink>
      <w:hyperlink r:id="rId34">
        <w:r>
          <w:rPr>
            <w:b/>
          </w:rPr>
          <w:t>1990</w:t>
        </w:r>
      </w:hyperlink>
      <w:hyperlink r:id="rId35">
        <w:r>
          <w:t>.</w:t>
        </w:r>
      </w:hyperlink>
    </w:p>
    <w:p w:rsidR="00D50A26" w:rsidRDefault="00F367A7">
      <w:pPr>
        <w:widowControl w:val="0"/>
        <w:pBdr>
          <w:top w:val="nil"/>
          <w:left w:val="nil"/>
          <w:bottom w:val="nil"/>
          <w:right w:val="nil"/>
          <w:between w:val="nil"/>
        </w:pBdr>
        <w:spacing w:line="360" w:lineRule="auto"/>
        <w:ind w:left="384" w:hanging="384"/>
        <w:rPr>
          <w:rFonts w:ascii="Arial" w:eastAsia="Arial" w:hAnsi="Arial" w:cs="Arial"/>
        </w:rPr>
      </w:pPr>
      <w:hyperlink r:id="rId36">
        <w:r>
          <w:t>(3)</w:t>
        </w:r>
        <w:r>
          <w:tab/>
          <w:t xml:space="preserve">Parthasarathi, R.; Raman, S. S.; Subramanian, V.; Ramasami, T. Bader’s Electron Density Analysis of Hydrogen Bonding in Secondary Structural Elements of Protein. </w:t>
        </w:r>
      </w:hyperlink>
      <w:hyperlink r:id="rId37">
        <w:r>
          <w:rPr>
            <w:i/>
          </w:rPr>
          <w:t>J. Phys. Chem</w:t>
        </w:r>
        <w:r>
          <w:rPr>
            <w:i/>
          </w:rPr>
          <w:t xml:space="preserve">. A </w:t>
        </w:r>
      </w:hyperlink>
      <w:hyperlink r:id="rId38">
        <w:r>
          <w:rPr>
            <w:b/>
          </w:rPr>
          <w:t>2007</w:t>
        </w:r>
      </w:hyperlink>
      <w:hyperlink r:id="rId39">
        <w:r>
          <w:t xml:space="preserve">, </w:t>
        </w:r>
      </w:hyperlink>
      <w:hyperlink r:id="rId40">
        <w:r>
          <w:rPr>
            <w:i/>
          </w:rPr>
          <w:t>111</w:t>
        </w:r>
      </w:hyperlink>
      <w:hyperlink r:id="rId41">
        <w:r>
          <w:t xml:space="preserve"> (30), 7141–7148.</w:t>
        </w:r>
      </w:hyperlink>
    </w:p>
    <w:p w:rsidR="00D50A26" w:rsidRDefault="00F367A7">
      <w:pPr>
        <w:widowControl w:val="0"/>
        <w:pBdr>
          <w:top w:val="nil"/>
          <w:left w:val="nil"/>
          <w:bottom w:val="nil"/>
          <w:right w:val="nil"/>
          <w:between w:val="nil"/>
        </w:pBdr>
        <w:spacing w:line="360" w:lineRule="auto"/>
        <w:ind w:left="384" w:hanging="384"/>
        <w:rPr>
          <w:rFonts w:ascii="Arial" w:eastAsia="Arial" w:hAnsi="Arial" w:cs="Arial"/>
        </w:rPr>
      </w:pPr>
      <w:hyperlink r:id="rId42">
        <w:r>
          <w:t>(4)</w:t>
        </w:r>
        <w:r>
          <w:tab/>
          <w:t xml:space="preserve">Arnold, W. D.; Oldfield, E. The Chemical Nature of Hydrogen Bonding in Proteins via NMR:  J-Couplings, Chemical Shifts, and AIM Theory. </w:t>
        </w:r>
      </w:hyperlink>
      <w:hyperlink r:id="rId43">
        <w:r>
          <w:rPr>
            <w:i/>
          </w:rPr>
          <w:t xml:space="preserve">J. Am. Chem. Soc. </w:t>
        </w:r>
      </w:hyperlink>
      <w:hyperlink r:id="rId44">
        <w:r>
          <w:rPr>
            <w:b/>
          </w:rPr>
          <w:t>2000</w:t>
        </w:r>
      </w:hyperlink>
      <w:hyperlink r:id="rId45">
        <w:r>
          <w:t xml:space="preserve">, </w:t>
        </w:r>
      </w:hyperlink>
      <w:hyperlink r:id="rId46">
        <w:r>
          <w:rPr>
            <w:i/>
          </w:rPr>
          <w:t>122</w:t>
        </w:r>
      </w:hyperlink>
      <w:hyperlink r:id="rId47">
        <w:r>
          <w:t xml:space="preserve"> (51), 12835–12841.</w:t>
        </w:r>
      </w:hyperlink>
    </w:p>
    <w:p w:rsidR="00D50A26" w:rsidRDefault="00F367A7">
      <w:pPr>
        <w:widowControl w:val="0"/>
        <w:pBdr>
          <w:top w:val="nil"/>
          <w:left w:val="nil"/>
          <w:bottom w:val="nil"/>
          <w:right w:val="nil"/>
          <w:between w:val="nil"/>
        </w:pBdr>
        <w:spacing w:line="360" w:lineRule="auto"/>
        <w:ind w:left="384" w:hanging="384"/>
        <w:rPr>
          <w:rFonts w:ascii="Arial" w:eastAsia="Arial" w:hAnsi="Arial" w:cs="Arial"/>
        </w:rPr>
      </w:pPr>
      <w:hyperlink r:id="rId48">
        <w:r>
          <w:t>(5)</w:t>
        </w:r>
        <w:r>
          <w:tab/>
        </w:r>
      </w:hyperlink>
      <w:r>
        <w:rPr>
          <w:rFonts w:ascii="Arial" w:eastAsia="Arial" w:hAnsi="Arial" w:cs="Arial"/>
        </w:rPr>
        <w:t xml:space="preserve">López-Sánchez, R.; Laurents, D. V.; Mompeán, M. Hydrogen bonding patterns and cooperativity in polyproline II helical bundles. </w:t>
      </w:r>
      <w:r>
        <w:rPr>
          <w:rFonts w:ascii="Arial" w:eastAsia="Arial" w:hAnsi="Arial" w:cs="Arial"/>
          <w:i/>
        </w:rPr>
        <w:t>Commun. Chem.</w:t>
      </w:r>
      <w:r>
        <w:rPr>
          <w:rFonts w:ascii="Arial" w:eastAsia="Arial" w:hAnsi="Arial" w:cs="Arial"/>
        </w:rPr>
        <w:t xml:space="preserve">, </w:t>
      </w:r>
      <w:r>
        <w:rPr>
          <w:rFonts w:ascii="Arial" w:eastAsia="Arial" w:hAnsi="Arial" w:cs="Arial"/>
          <w:b/>
        </w:rPr>
        <w:t>2024</w:t>
      </w:r>
      <w:r>
        <w:rPr>
          <w:rFonts w:ascii="Arial" w:eastAsia="Arial" w:hAnsi="Arial" w:cs="Arial"/>
        </w:rPr>
        <w:t xml:space="preserve"> </w:t>
      </w:r>
      <w:r>
        <w:rPr>
          <w:rFonts w:ascii="Arial" w:eastAsia="Arial" w:hAnsi="Arial" w:cs="Arial"/>
          <w:i/>
        </w:rPr>
        <w:t>7</w:t>
      </w:r>
      <w:r>
        <w:rPr>
          <w:rFonts w:ascii="Arial" w:eastAsia="Arial" w:hAnsi="Arial" w:cs="Arial"/>
        </w:rPr>
        <w:t>(1), 191.</w:t>
      </w:r>
    </w:p>
    <w:p w:rsidR="00D50A26" w:rsidRDefault="00F367A7">
      <w:pPr>
        <w:widowControl w:val="0"/>
        <w:spacing w:line="360" w:lineRule="auto"/>
        <w:ind w:left="384"/>
        <w:rPr>
          <w:rFonts w:ascii="Arial" w:eastAsia="Arial" w:hAnsi="Arial" w:cs="Arial"/>
        </w:rPr>
      </w:pPr>
      <w:hyperlink r:id="rId49">
        <w:r>
          <w:t>(6)</w:t>
        </w:r>
        <w:r>
          <w:tab/>
          <w:t>Jeziorski, B.; Moszynski, R.; Sz</w:t>
        </w:r>
        <w:r>
          <w:t xml:space="preserve">alewicz, K. Perturbation Theory Approach to Intermolecular Potential Energy Surfaces of van Der Waals Complexes. </w:t>
        </w:r>
      </w:hyperlink>
      <w:hyperlink r:id="rId50">
        <w:r>
          <w:rPr>
            <w:i/>
          </w:rPr>
          <w:t xml:space="preserve">Chem. Rev. </w:t>
        </w:r>
      </w:hyperlink>
      <w:hyperlink r:id="rId51">
        <w:r>
          <w:rPr>
            <w:b/>
          </w:rPr>
          <w:t>1994</w:t>
        </w:r>
      </w:hyperlink>
      <w:hyperlink r:id="rId52">
        <w:r>
          <w:t xml:space="preserve">, </w:t>
        </w:r>
      </w:hyperlink>
      <w:hyperlink r:id="rId53">
        <w:r>
          <w:rPr>
            <w:i/>
          </w:rPr>
          <w:t>94</w:t>
        </w:r>
      </w:hyperlink>
      <w:hyperlink r:id="rId54">
        <w:r>
          <w:t xml:space="preserve"> (7), 1887–1930.</w:t>
        </w:r>
      </w:hyperlink>
    </w:p>
    <w:p w:rsidR="00D50A26" w:rsidRDefault="00F367A7">
      <w:pPr>
        <w:widowControl w:val="0"/>
        <w:spacing w:line="360" w:lineRule="auto"/>
        <w:ind w:left="384"/>
        <w:rPr>
          <w:rFonts w:ascii="Arial" w:eastAsia="Arial" w:hAnsi="Arial" w:cs="Arial"/>
        </w:rPr>
      </w:pPr>
      <w:hyperlink r:id="rId55">
        <w:r>
          <w:t>(7)</w:t>
        </w:r>
        <w:r>
          <w:tab/>
          <w:t xml:space="preserve">Hohenstein, E. G.; Sherrill, C. D. Density Fitting of Intramonomer Correlation Effects in Symmetry-Adapted Perturbation Theory. </w:t>
        </w:r>
      </w:hyperlink>
      <w:hyperlink r:id="rId56">
        <w:r>
          <w:rPr>
            <w:i/>
          </w:rPr>
          <w:t xml:space="preserve">J. Chem. Phys. </w:t>
        </w:r>
      </w:hyperlink>
      <w:hyperlink r:id="rId57">
        <w:r>
          <w:rPr>
            <w:b/>
          </w:rPr>
          <w:t>2010</w:t>
        </w:r>
      </w:hyperlink>
      <w:hyperlink r:id="rId58">
        <w:r>
          <w:t xml:space="preserve">, </w:t>
        </w:r>
      </w:hyperlink>
      <w:hyperlink r:id="rId59">
        <w:r>
          <w:rPr>
            <w:i/>
          </w:rPr>
          <w:t>133</w:t>
        </w:r>
      </w:hyperlink>
      <w:hyperlink r:id="rId60">
        <w:r>
          <w:t xml:space="preserve"> (1), 014101.</w:t>
        </w:r>
      </w:hyperlink>
    </w:p>
    <w:p w:rsidR="00D50A26" w:rsidRDefault="00F367A7">
      <w:pPr>
        <w:widowControl w:val="0"/>
        <w:spacing w:line="360" w:lineRule="auto"/>
        <w:ind w:left="384"/>
        <w:rPr>
          <w:rFonts w:ascii="Arial" w:eastAsia="Arial" w:hAnsi="Arial" w:cs="Arial"/>
        </w:rPr>
      </w:pPr>
      <w:hyperlink r:id="rId61">
        <w:r>
          <w:t>(8)</w:t>
        </w:r>
        <w:r>
          <w:tab/>
          <w:t xml:space="preserve">Sánchez-Sanz, G.; Trujillo, C.; Alkorta, I.; Elguero, J. Understanding Regium Bonds and Their Competition with Hydrogen Bonds in Au2:HX Complexes. </w:t>
        </w:r>
      </w:hyperlink>
      <w:hyperlink r:id="rId62">
        <w:r>
          <w:rPr>
            <w:i/>
          </w:rPr>
          <w:t>Chem</w:t>
        </w:r>
        <w:r>
          <w:rPr>
            <w:i/>
          </w:rPr>
          <w:t xml:space="preserve">PhysChem </w:t>
        </w:r>
      </w:hyperlink>
      <w:hyperlink r:id="rId63">
        <w:r>
          <w:rPr>
            <w:b/>
          </w:rPr>
          <w:t>2019</w:t>
        </w:r>
      </w:hyperlink>
      <w:hyperlink r:id="rId64">
        <w:r>
          <w:t xml:space="preserve">, </w:t>
        </w:r>
      </w:hyperlink>
      <w:hyperlink r:id="rId65">
        <w:r>
          <w:rPr>
            <w:i/>
          </w:rPr>
          <w:t>20</w:t>
        </w:r>
      </w:hyperlink>
      <w:hyperlink r:id="rId66">
        <w:r>
          <w:t xml:space="preserve"> (12), 1572–1580.</w:t>
        </w:r>
      </w:hyperlink>
    </w:p>
    <w:p w:rsidR="00D50A26" w:rsidRDefault="00F367A7">
      <w:pPr>
        <w:widowControl w:val="0"/>
        <w:spacing w:line="360" w:lineRule="auto"/>
        <w:ind w:left="384"/>
        <w:rPr>
          <w:rFonts w:ascii="Arial" w:eastAsia="Arial" w:hAnsi="Arial" w:cs="Arial"/>
        </w:rPr>
      </w:pPr>
      <w:hyperlink r:id="rId67">
        <w:r>
          <w:t>(9)</w:t>
        </w:r>
        <w:r>
          <w:tab/>
          <w:t>Jezierska, A.; Panek, J. J. Cooperativity of Hydrogen Bonding Network in Microsolvated Biotin, the Ligand of Avi</w:t>
        </w:r>
        <w:r>
          <w:t xml:space="preserve">din Class Proteins. </w:t>
        </w:r>
      </w:hyperlink>
      <w:hyperlink r:id="rId68">
        <w:r>
          <w:rPr>
            <w:i/>
          </w:rPr>
          <w:t xml:space="preserve">J. Mol. Model. </w:t>
        </w:r>
      </w:hyperlink>
      <w:hyperlink r:id="rId69">
        <w:r>
          <w:rPr>
            <w:b/>
          </w:rPr>
          <w:t>2019</w:t>
        </w:r>
      </w:hyperlink>
      <w:hyperlink r:id="rId70">
        <w:r>
          <w:t xml:space="preserve">, </w:t>
        </w:r>
      </w:hyperlink>
      <w:hyperlink r:id="rId71">
        <w:r>
          <w:rPr>
            <w:i/>
          </w:rPr>
          <w:t>25</w:t>
        </w:r>
      </w:hyperlink>
      <w:hyperlink r:id="rId72">
        <w:r>
          <w:t xml:space="preserve"> (12), 361.</w:t>
        </w:r>
      </w:hyperlink>
    </w:p>
    <w:p w:rsidR="00D50A26" w:rsidRDefault="00D50A26">
      <w:pPr>
        <w:spacing w:before="119" w:line="360" w:lineRule="auto"/>
        <w:jc w:val="both"/>
        <w:rPr>
          <w:rFonts w:ascii="Arial" w:eastAsia="Arial" w:hAnsi="Arial" w:cs="Arial"/>
        </w:rPr>
      </w:pPr>
    </w:p>
    <w:p w:rsidR="00D50A26" w:rsidRDefault="00D50A26">
      <w:pPr>
        <w:spacing w:before="119" w:line="360" w:lineRule="auto"/>
        <w:jc w:val="both"/>
        <w:rPr>
          <w:rFonts w:ascii="Arial" w:eastAsia="Arial" w:hAnsi="Arial" w:cs="Arial"/>
        </w:rPr>
      </w:pPr>
    </w:p>
    <w:sectPr w:rsidR="00D50A26">
      <w:footerReference w:type="default" r:id="rId73"/>
      <w:pgSz w:w="12240" w:h="15840"/>
      <w:pgMar w:top="1134" w:right="1134" w:bottom="1693" w:left="1134" w:header="0"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67A7" w:rsidRDefault="00F367A7">
      <w:r>
        <w:separator/>
      </w:r>
    </w:p>
  </w:endnote>
  <w:endnote w:type="continuationSeparator" w:id="0">
    <w:p w:rsidR="00F367A7" w:rsidRDefault="00F36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Arimo">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A26" w:rsidRDefault="00F367A7">
    <w:pPr>
      <w:tabs>
        <w:tab w:val="center" w:pos="4986"/>
        <w:tab w:val="right" w:pos="9972"/>
      </w:tabs>
      <w:jc w:val="center"/>
    </w:pPr>
    <w:r>
      <w:fldChar w:fldCharType="begin"/>
    </w:r>
    <w:r>
      <w:instrText>PAGE</w:instrText>
    </w:r>
    <w:r w:rsidR="00A850B8">
      <w:fldChar w:fldCharType="separate"/>
    </w:r>
    <w:r w:rsidR="00A850B8">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A26" w:rsidRDefault="00F367A7">
    <w:pPr>
      <w:tabs>
        <w:tab w:val="center" w:pos="4986"/>
        <w:tab w:val="right" w:pos="9972"/>
      </w:tabs>
      <w:jc w:val="center"/>
    </w:pPr>
    <w:r>
      <w:fldChar w:fldCharType="begin"/>
    </w:r>
    <w:r>
      <w:instrText>PAGE</w:instrText>
    </w:r>
    <w:r w:rsidR="00A850B8">
      <w:fldChar w:fldCharType="separate"/>
    </w:r>
    <w:r w:rsidR="00A850B8">
      <w:rPr>
        <w:noProof/>
      </w:rPr>
      <w:t>34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67A7" w:rsidRDefault="00F367A7">
      <w:r>
        <w:separator/>
      </w:r>
    </w:p>
  </w:footnote>
  <w:footnote w:type="continuationSeparator" w:id="0">
    <w:p w:rsidR="00F367A7" w:rsidRDefault="00F367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A26" w:rsidRDefault="00D50A2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A26"/>
    <w:rsid w:val="00A850B8"/>
    <w:rsid w:val="00D50A26"/>
    <w:rsid w:val="00F367A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ecimalSymbol w:val=","/>
  <w:listSeparator w:val=";"/>
  <w15:docId w15:val="{54908BE4-8631-DB4F-BED6-9299A257F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Liberation Serif" w:hAnsi="Liberation Serif" w:cs="Liberation Serif"/>
        <w:sz w:val="24"/>
        <w:szCs w:val="24"/>
        <w:lang w:val="en-US" w:eastAsia="es-ES_trad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Ttulo2">
    <w:name w:val="heading 2"/>
    <w:basedOn w:val="Normal"/>
    <w:next w:val="Normal"/>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Ttulo3">
    <w:name w:val="heading 3"/>
    <w:basedOn w:val="Normal"/>
    <w:next w:val="Normal"/>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Ttulo4">
    <w:name w:val="heading 4"/>
    <w:basedOn w:val="Normal"/>
    <w:next w:val="Normal"/>
    <w:uiPriority w:val="9"/>
    <w:semiHidden/>
    <w:unhideWhenUsed/>
    <w:qFormat/>
    <w:pPr>
      <w:keepNext/>
      <w:keepLines/>
      <w:pBdr>
        <w:top w:val="nil"/>
        <w:left w:val="nil"/>
        <w:bottom w:val="nil"/>
        <w:right w:val="nil"/>
        <w:between w:val="nil"/>
      </w:pBdr>
      <w:spacing w:before="240" w:after="40"/>
      <w:outlineLvl w:val="3"/>
    </w:pPr>
    <w:rPr>
      <w:b/>
      <w:color w:val="000000"/>
    </w:rPr>
  </w:style>
  <w:style w:type="paragraph" w:styleId="Ttulo5">
    <w:name w:val="heading 5"/>
    <w:basedOn w:val="Normal"/>
    <w:next w:val="Normal"/>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Ttulo6">
    <w:name w:val="heading 6"/>
    <w:basedOn w:val="Normal"/>
    <w:next w:val="Normal"/>
    <w:uiPriority w:val="9"/>
    <w:semiHidden/>
    <w:unhideWhenUsed/>
    <w:qFormat/>
    <w:pPr>
      <w:keepNext/>
      <w:keepLines/>
      <w:pBdr>
        <w:top w:val="nil"/>
        <w:left w:val="nil"/>
        <w:bottom w:val="nil"/>
        <w:right w:val="nil"/>
        <w:between w:val="nil"/>
      </w:pBdr>
      <w:spacing w:before="200" w:after="40"/>
      <w:outlineLvl w:val="5"/>
    </w:pPr>
    <w:rPr>
      <w:b/>
      <w:color w:val="00000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pBdr>
        <w:top w:val="nil"/>
        <w:left w:val="nil"/>
        <w:bottom w:val="nil"/>
        <w:right w:val="nil"/>
        <w:between w:val="nil"/>
      </w:pBdr>
      <w:spacing w:before="480" w:after="120"/>
    </w:pPr>
    <w:rPr>
      <w:b/>
      <w:color w:val="000000"/>
      <w:sz w:val="72"/>
      <w:szCs w:val="72"/>
    </w:rPr>
  </w:style>
  <w:style w:type="paragraph" w:styleId="Subttulo">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7" w:type="dxa"/>
        <w:bottom w:w="0" w:type="dxa"/>
        <w:right w:w="108" w:type="dxa"/>
      </w:tblCellMar>
    </w:tblPr>
  </w:style>
  <w:style w:type="table" w:customStyle="1" w:styleId="a0">
    <w:basedOn w:val="TableNormal"/>
    <w:tblPr>
      <w:tblStyleRowBandSize w:val="1"/>
      <w:tblStyleColBandSize w:val="1"/>
      <w:tblCellMar>
        <w:top w:w="0" w:type="dxa"/>
        <w:left w:w="107" w:type="dxa"/>
        <w:bottom w:w="0" w:type="dxa"/>
        <w:right w:w="108" w:type="dxa"/>
      </w:tblCellMar>
    </w:tblPr>
  </w:style>
  <w:style w:type="table" w:customStyle="1" w:styleId="a1">
    <w:basedOn w:val="TableNormal"/>
    <w:tblPr>
      <w:tblStyleRowBandSize w:val="1"/>
      <w:tblStyleColBandSize w:val="1"/>
      <w:tblCellMar>
        <w:top w:w="0" w:type="dxa"/>
        <w:left w:w="107" w:type="dxa"/>
        <w:bottom w:w="0" w:type="dxa"/>
        <w:right w:w="108" w:type="dxa"/>
      </w:tblCellMar>
    </w:tblPr>
  </w:style>
  <w:style w:type="table" w:customStyle="1" w:styleId="a2">
    <w:basedOn w:val="TableNormal"/>
    <w:tblPr>
      <w:tblStyleRowBandSize w:val="1"/>
      <w:tblStyleColBandSize w:val="1"/>
      <w:tblCellMar>
        <w:top w:w="0" w:type="dxa"/>
        <w:left w:w="107" w:type="dxa"/>
        <w:bottom w:w="0" w:type="dxa"/>
        <w:right w:w="108" w:type="dxa"/>
      </w:tblCellMar>
    </w:tblPr>
  </w:style>
  <w:style w:type="table" w:customStyle="1" w:styleId="a3">
    <w:basedOn w:val="TableNormal"/>
    <w:tblPr>
      <w:tblStyleRowBandSize w:val="1"/>
      <w:tblStyleColBandSize w:val="1"/>
      <w:tblCellMar>
        <w:top w:w="0" w:type="dxa"/>
        <w:left w:w="107" w:type="dxa"/>
        <w:bottom w:w="0" w:type="dxa"/>
        <w:right w:w="108" w:type="dxa"/>
      </w:tblCellMar>
    </w:tblPr>
  </w:style>
  <w:style w:type="table" w:customStyle="1" w:styleId="a4">
    <w:basedOn w:val="TableNormal"/>
    <w:tblPr>
      <w:tblStyleRowBandSize w:val="1"/>
      <w:tblStyleColBandSize w:val="1"/>
      <w:tblCellMar>
        <w:top w:w="0" w:type="dxa"/>
        <w:left w:w="107" w:type="dxa"/>
        <w:bottom w:w="0" w:type="dxa"/>
        <w:right w:w="108" w:type="dxa"/>
      </w:tblCellMar>
    </w:tblPr>
  </w:style>
  <w:style w:type="table" w:customStyle="1" w:styleId="a5">
    <w:basedOn w:val="TableNormal"/>
    <w:tblPr>
      <w:tblStyleRowBandSize w:val="1"/>
      <w:tblStyleColBandSize w:val="1"/>
      <w:tblCellMar>
        <w:top w:w="0" w:type="dxa"/>
        <w:left w:w="107" w:type="dxa"/>
        <w:bottom w:w="0" w:type="dxa"/>
        <w:right w:w="108" w:type="dxa"/>
      </w:tblCellMar>
    </w:tblPr>
  </w:style>
  <w:style w:type="table" w:customStyle="1" w:styleId="a6">
    <w:basedOn w:val="TableNormal"/>
    <w:tblPr>
      <w:tblStyleRowBandSize w:val="1"/>
      <w:tblStyleColBandSize w:val="1"/>
      <w:tblCellMar>
        <w:top w:w="0" w:type="dxa"/>
        <w:left w:w="107" w:type="dxa"/>
        <w:bottom w:w="0" w:type="dxa"/>
        <w:right w:w="108" w:type="dxa"/>
      </w:tblCellMar>
    </w:tblPr>
  </w:style>
  <w:style w:type="table" w:customStyle="1" w:styleId="a7">
    <w:basedOn w:val="TableNormal"/>
    <w:tblPr>
      <w:tblStyleRowBandSize w:val="1"/>
      <w:tblStyleColBandSize w:val="1"/>
      <w:tblCellMar>
        <w:top w:w="0" w:type="dxa"/>
        <w:left w:w="107" w:type="dxa"/>
        <w:bottom w:w="0" w:type="dxa"/>
        <w:right w:w="108" w:type="dxa"/>
      </w:tblCellMar>
    </w:tblPr>
  </w:style>
  <w:style w:type="table" w:customStyle="1" w:styleId="a8">
    <w:basedOn w:val="TableNormal"/>
    <w:tblPr>
      <w:tblStyleRowBandSize w:val="1"/>
      <w:tblStyleColBandSize w:val="1"/>
      <w:tblCellMar>
        <w:top w:w="0" w:type="dxa"/>
        <w:left w:w="107" w:type="dxa"/>
        <w:bottom w:w="0" w:type="dxa"/>
        <w:right w:w="108" w:type="dxa"/>
      </w:tblCellMar>
    </w:tblPr>
  </w:style>
  <w:style w:type="table" w:customStyle="1" w:styleId="a9">
    <w:basedOn w:val="TableNormal"/>
    <w:tblPr>
      <w:tblStyleRowBandSize w:val="1"/>
      <w:tblStyleColBandSize w:val="1"/>
      <w:tblCellMar>
        <w:top w:w="0" w:type="dxa"/>
        <w:left w:w="107" w:type="dxa"/>
        <w:bottom w:w="0" w:type="dxa"/>
        <w:right w:w="108" w:type="dxa"/>
      </w:tblCellMar>
    </w:tblPr>
  </w:style>
  <w:style w:type="table" w:customStyle="1" w:styleId="aa">
    <w:basedOn w:val="TableNormal"/>
    <w:tblPr>
      <w:tblStyleRowBandSize w:val="1"/>
      <w:tblStyleColBandSize w:val="1"/>
      <w:tblCellMar>
        <w:top w:w="0" w:type="dxa"/>
        <w:left w:w="107" w:type="dxa"/>
        <w:bottom w:w="0" w:type="dxa"/>
        <w:right w:w="108" w:type="dxa"/>
      </w:tblCellMar>
    </w:tblPr>
  </w:style>
  <w:style w:type="table" w:customStyle="1" w:styleId="ab">
    <w:basedOn w:val="TableNormal"/>
    <w:tblPr>
      <w:tblStyleRowBandSize w:val="1"/>
      <w:tblStyleColBandSize w:val="1"/>
      <w:tblCellMar>
        <w:top w:w="0" w:type="dxa"/>
        <w:left w:w="107" w:type="dxa"/>
        <w:bottom w:w="0" w:type="dxa"/>
        <w:right w:w="108" w:type="dxa"/>
      </w:tblCellMar>
    </w:tblPr>
  </w:style>
  <w:style w:type="table" w:customStyle="1" w:styleId="ac">
    <w:basedOn w:val="TableNormal"/>
    <w:tblPr>
      <w:tblStyleRowBandSize w:val="1"/>
      <w:tblStyleColBandSize w:val="1"/>
      <w:tblCellMar>
        <w:top w:w="0" w:type="dxa"/>
        <w:left w:w="107"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www.zotero.org/google-docs/?T4BjXQ" TargetMode="External"/><Relationship Id="rId21" Type="http://schemas.openxmlformats.org/officeDocument/2006/relationships/image" Target="media/image6.png"/><Relationship Id="rId42" Type="http://schemas.openxmlformats.org/officeDocument/2006/relationships/hyperlink" Target="https://www.zotero.org/google-docs/?T4BjXQ" TargetMode="External"/><Relationship Id="rId47" Type="http://schemas.openxmlformats.org/officeDocument/2006/relationships/hyperlink" Target="https://www.zotero.org/google-docs/?T4BjXQ" TargetMode="External"/><Relationship Id="rId63" Type="http://schemas.openxmlformats.org/officeDocument/2006/relationships/hyperlink" Target="https://www.zotero.org/google-docs/?Yf7FjR" TargetMode="External"/><Relationship Id="rId68" Type="http://schemas.openxmlformats.org/officeDocument/2006/relationships/hyperlink" Target="https://www.zotero.org/google-docs/?Yf7FjR" TargetMode="External"/><Relationship Id="rId2" Type="http://schemas.openxmlformats.org/officeDocument/2006/relationships/settings" Target="settings.xml"/><Relationship Id="rId16" Type="http://schemas.openxmlformats.org/officeDocument/2006/relationships/image" Target="media/image1.png"/><Relationship Id="rId29" Type="http://schemas.openxmlformats.org/officeDocument/2006/relationships/hyperlink" Target="https://www.zotero.org/google-docs/?T4BjXQ" TargetMode="External"/><Relationship Id="rId11" Type="http://schemas.openxmlformats.org/officeDocument/2006/relationships/hyperlink" Target="https://www.zotero.org/google-docs/?qma3uO" TargetMode="External"/><Relationship Id="rId24" Type="http://schemas.openxmlformats.org/officeDocument/2006/relationships/image" Target="media/image9.png"/><Relationship Id="rId32" Type="http://schemas.openxmlformats.org/officeDocument/2006/relationships/hyperlink" Target="https://www.zotero.org/google-docs/?T4BjXQ" TargetMode="External"/><Relationship Id="rId37" Type="http://schemas.openxmlformats.org/officeDocument/2006/relationships/hyperlink" Target="https://www.zotero.org/google-docs/?T4BjXQ" TargetMode="External"/><Relationship Id="rId40" Type="http://schemas.openxmlformats.org/officeDocument/2006/relationships/hyperlink" Target="https://www.zotero.org/google-docs/?T4BjXQ" TargetMode="External"/><Relationship Id="rId45" Type="http://schemas.openxmlformats.org/officeDocument/2006/relationships/hyperlink" Target="https://www.zotero.org/google-docs/?T4BjXQ" TargetMode="External"/><Relationship Id="rId53" Type="http://schemas.openxmlformats.org/officeDocument/2006/relationships/hyperlink" Target="https://www.zotero.org/google-docs/?Yf7FjR" TargetMode="External"/><Relationship Id="rId58" Type="http://schemas.openxmlformats.org/officeDocument/2006/relationships/hyperlink" Target="https://www.zotero.org/google-docs/?Yf7FjR" TargetMode="External"/><Relationship Id="rId66" Type="http://schemas.openxmlformats.org/officeDocument/2006/relationships/hyperlink" Target="https://www.zotero.org/google-docs/?Yf7FjR" TargetMode="External"/><Relationship Id="rId74" Type="http://schemas.openxmlformats.org/officeDocument/2006/relationships/fontTable" Target="fontTable.xml"/><Relationship Id="rId5" Type="http://schemas.openxmlformats.org/officeDocument/2006/relationships/endnotes" Target="endnotes.xml"/><Relationship Id="rId61" Type="http://schemas.openxmlformats.org/officeDocument/2006/relationships/hyperlink" Target="https://www.zotero.org/google-docs/?Yf7FjR" TargetMode="External"/><Relationship Id="rId19" Type="http://schemas.openxmlformats.org/officeDocument/2006/relationships/image" Target="media/image4.png"/><Relationship Id="rId14" Type="http://schemas.openxmlformats.org/officeDocument/2006/relationships/header" Target="header1.xml"/><Relationship Id="rId22" Type="http://schemas.openxmlformats.org/officeDocument/2006/relationships/image" Target="media/image7.png"/><Relationship Id="rId27" Type="http://schemas.openxmlformats.org/officeDocument/2006/relationships/hyperlink" Target="https://www.zotero.org/google-docs/?T4BjXQ" TargetMode="External"/><Relationship Id="rId30" Type="http://schemas.openxmlformats.org/officeDocument/2006/relationships/hyperlink" Target="https://www.zotero.org/google-docs/?T4BjXQ" TargetMode="External"/><Relationship Id="rId35" Type="http://schemas.openxmlformats.org/officeDocument/2006/relationships/hyperlink" Target="https://www.zotero.org/google-docs/?T4BjXQ" TargetMode="External"/><Relationship Id="rId43" Type="http://schemas.openxmlformats.org/officeDocument/2006/relationships/hyperlink" Target="https://www.zotero.org/google-docs/?T4BjXQ" TargetMode="External"/><Relationship Id="rId48" Type="http://schemas.openxmlformats.org/officeDocument/2006/relationships/hyperlink" Target="https://www.zotero.org/google-docs/?T4BjXQ" TargetMode="External"/><Relationship Id="rId56" Type="http://schemas.openxmlformats.org/officeDocument/2006/relationships/hyperlink" Target="https://www.zotero.org/google-docs/?Yf7FjR" TargetMode="External"/><Relationship Id="rId64" Type="http://schemas.openxmlformats.org/officeDocument/2006/relationships/hyperlink" Target="https://www.zotero.org/google-docs/?Yf7FjR" TargetMode="External"/><Relationship Id="rId69" Type="http://schemas.openxmlformats.org/officeDocument/2006/relationships/hyperlink" Target="https://www.zotero.org/google-docs/?Yf7FjR" TargetMode="External"/><Relationship Id="rId8" Type="http://schemas.openxmlformats.org/officeDocument/2006/relationships/hyperlink" Target="https://www.zotero.org/google-docs/?pYb4jG" TargetMode="External"/><Relationship Id="rId51" Type="http://schemas.openxmlformats.org/officeDocument/2006/relationships/hyperlink" Target="https://www.zotero.org/google-docs/?Yf7FjR" TargetMode="External"/><Relationship Id="rId72" Type="http://schemas.openxmlformats.org/officeDocument/2006/relationships/hyperlink" Target="https://www.zotero.org/google-docs/?Yf7FjR" TargetMode="External"/><Relationship Id="rId3" Type="http://schemas.openxmlformats.org/officeDocument/2006/relationships/webSettings" Target="webSettings.xml"/><Relationship Id="rId12" Type="http://schemas.openxmlformats.org/officeDocument/2006/relationships/hyperlink" Target="https://www.zotero.org/google-docs/?lZtM8b" TargetMode="External"/><Relationship Id="rId17" Type="http://schemas.openxmlformats.org/officeDocument/2006/relationships/image" Target="media/image2.png"/><Relationship Id="rId25" Type="http://schemas.openxmlformats.org/officeDocument/2006/relationships/hyperlink" Target="https://www.zotero.org/google-docs/?T4BjXQ" TargetMode="External"/><Relationship Id="rId33" Type="http://schemas.openxmlformats.org/officeDocument/2006/relationships/hyperlink" Target="https://www.zotero.org/google-docs/?T4BjXQ" TargetMode="External"/><Relationship Id="rId38" Type="http://schemas.openxmlformats.org/officeDocument/2006/relationships/hyperlink" Target="https://www.zotero.org/google-docs/?T4BjXQ" TargetMode="External"/><Relationship Id="rId46" Type="http://schemas.openxmlformats.org/officeDocument/2006/relationships/hyperlink" Target="https://www.zotero.org/google-docs/?T4BjXQ" TargetMode="External"/><Relationship Id="rId59" Type="http://schemas.openxmlformats.org/officeDocument/2006/relationships/hyperlink" Target="https://www.zotero.org/google-docs/?Yf7FjR" TargetMode="External"/><Relationship Id="rId67" Type="http://schemas.openxmlformats.org/officeDocument/2006/relationships/hyperlink" Target="https://www.zotero.org/google-docs/?Yf7FjR" TargetMode="External"/><Relationship Id="rId20" Type="http://schemas.openxmlformats.org/officeDocument/2006/relationships/image" Target="media/image5.png"/><Relationship Id="rId41" Type="http://schemas.openxmlformats.org/officeDocument/2006/relationships/hyperlink" Target="https://www.zotero.org/google-docs/?T4BjXQ" TargetMode="External"/><Relationship Id="rId54" Type="http://schemas.openxmlformats.org/officeDocument/2006/relationships/hyperlink" Target="https://www.zotero.org/google-docs/?Yf7FjR" TargetMode="External"/><Relationship Id="rId62" Type="http://schemas.openxmlformats.org/officeDocument/2006/relationships/hyperlink" Target="https://www.zotero.org/google-docs/?Yf7FjR" TargetMode="External"/><Relationship Id="rId70" Type="http://schemas.openxmlformats.org/officeDocument/2006/relationships/hyperlink" Target="https://www.zotero.org/google-docs/?Yf7FjR"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dlaurents@iqfr.csic.es" TargetMode="External"/><Relationship Id="rId15" Type="http://schemas.openxmlformats.org/officeDocument/2006/relationships/footer" Target="footer1.xml"/><Relationship Id="rId23" Type="http://schemas.openxmlformats.org/officeDocument/2006/relationships/image" Target="media/image8.png"/><Relationship Id="rId28" Type="http://schemas.openxmlformats.org/officeDocument/2006/relationships/hyperlink" Target="https://www.zotero.org/google-docs/?T4BjXQ" TargetMode="External"/><Relationship Id="rId36" Type="http://schemas.openxmlformats.org/officeDocument/2006/relationships/hyperlink" Target="https://www.zotero.org/google-docs/?T4BjXQ" TargetMode="External"/><Relationship Id="rId49" Type="http://schemas.openxmlformats.org/officeDocument/2006/relationships/hyperlink" Target="https://www.zotero.org/google-docs/?Yf7FjR" TargetMode="External"/><Relationship Id="rId57" Type="http://schemas.openxmlformats.org/officeDocument/2006/relationships/hyperlink" Target="https://www.zotero.org/google-docs/?Yf7FjR" TargetMode="External"/><Relationship Id="rId10" Type="http://schemas.openxmlformats.org/officeDocument/2006/relationships/hyperlink" Target="https://www.zotero.org/google-docs/?PXEuhi" TargetMode="External"/><Relationship Id="rId31" Type="http://schemas.openxmlformats.org/officeDocument/2006/relationships/hyperlink" Target="https://www.zotero.org/google-docs/?T4BjXQ" TargetMode="External"/><Relationship Id="rId44" Type="http://schemas.openxmlformats.org/officeDocument/2006/relationships/hyperlink" Target="https://www.zotero.org/google-docs/?T4BjXQ" TargetMode="External"/><Relationship Id="rId52" Type="http://schemas.openxmlformats.org/officeDocument/2006/relationships/hyperlink" Target="https://www.zotero.org/google-docs/?Yf7FjR" TargetMode="External"/><Relationship Id="rId60" Type="http://schemas.openxmlformats.org/officeDocument/2006/relationships/hyperlink" Target="https://www.zotero.org/google-docs/?Yf7FjR" TargetMode="External"/><Relationship Id="rId65" Type="http://schemas.openxmlformats.org/officeDocument/2006/relationships/hyperlink" Target="https://www.zotero.org/google-docs/?Yf7FjR" TargetMode="External"/><Relationship Id="rId73"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https://www.zotero.org/google-docs/?1M5W3b" TargetMode="External"/><Relationship Id="rId13" Type="http://schemas.openxmlformats.org/officeDocument/2006/relationships/hyperlink" Target="https://www.zotero.org/google-docs/?Ni1weF" TargetMode="External"/><Relationship Id="rId18" Type="http://schemas.openxmlformats.org/officeDocument/2006/relationships/image" Target="media/image3.png"/><Relationship Id="rId39" Type="http://schemas.openxmlformats.org/officeDocument/2006/relationships/hyperlink" Target="https://www.zotero.org/google-docs/?T4BjXQ" TargetMode="External"/><Relationship Id="rId34" Type="http://schemas.openxmlformats.org/officeDocument/2006/relationships/hyperlink" Target="https://www.zotero.org/google-docs/?T4BjXQ" TargetMode="External"/><Relationship Id="rId50" Type="http://schemas.openxmlformats.org/officeDocument/2006/relationships/hyperlink" Target="https://www.zotero.org/google-docs/?Yf7FjR" TargetMode="External"/><Relationship Id="rId55" Type="http://schemas.openxmlformats.org/officeDocument/2006/relationships/hyperlink" Target="https://www.zotero.org/google-docs/?Yf7FjR" TargetMode="External"/><Relationship Id="rId7" Type="http://schemas.openxmlformats.org/officeDocument/2006/relationships/hyperlink" Target="mailto:mmompean@iqfr.csic.es" TargetMode="External"/><Relationship Id="rId71" Type="http://schemas.openxmlformats.org/officeDocument/2006/relationships/hyperlink" Target="https://www.zotero.org/google-docs/?Yf7Fj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6286</Words>
  <Characters>34577</Characters>
  <Application>Microsoft Office Word</Application>
  <DocSecurity>0</DocSecurity>
  <Lines>288</Lines>
  <Paragraphs>81</Paragraphs>
  <ScaleCrop>false</ScaleCrop>
  <Company/>
  <LinksUpToDate>false</LinksUpToDate>
  <CharactersWithSpaces>40782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 Laurents</cp:lastModifiedBy>
  <cp:revision>2</cp:revision>
  <dcterms:created xsi:type="dcterms:W3CDTF">2024-10-31T08:37:00Z</dcterms:created>
  <dcterms:modified xsi:type="dcterms:W3CDTF">2024-10-31T08:37:00Z</dcterms:modified>
</cp:coreProperties>
</file>