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A722A" w14:textId="77777777" w:rsidR="00B12E09" w:rsidRDefault="00B12E09">
      <w:pPr>
        <w:rPr>
          <w:rFonts w:hint="eastAsia"/>
        </w:rPr>
      </w:pPr>
    </w:p>
    <w:p w14:paraId="4B7A3D67" w14:textId="3A2C2892" w:rsidR="007A3BD4" w:rsidRPr="007A3BD4" w:rsidRDefault="00CF6C65" w:rsidP="007A3BD4">
      <w:pPr>
        <w:pStyle w:val="p"/>
        <w:shd w:val="clear" w:color="auto" w:fill="FFFFFF"/>
        <w:spacing w:before="400" w:beforeAutospacing="0" w:after="400" w:afterAutospacing="0" w:line="360" w:lineRule="auto"/>
        <w:jc w:val="both"/>
        <w:rPr>
          <w:rFonts w:ascii="Times New Roman" w:hAnsi="Times New Roman" w:cs="Times New Roman"/>
        </w:rPr>
      </w:pPr>
      <w:r w:rsidRPr="00CF6C65">
        <w:rPr>
          <w:rFonts w:ascii="Times New Roman" w:hAnsi="Times New Roman" w:cs="Times New Roman" w:hint="eastAsia"/>
        </w:rPr>
        <w:t>Table S</w:t>
      </w:r>
      <w:r w:rsidR="00D7325A">
        <w:rPr>
          <w:rFonts w:ascii="Times New Roman" w:hAnsi="Times New Roman" w:cs="Times New Roman" w:hint="eastAsia"/>
        </w:rPr>
        <w:t>1. UK Biobank Codes</w:t>
      </w:r>
      <w:r w:rsidR="007A3BD4">
        <w:rPr>
          <w:rFonts w:ascii="Times New Roman" w:hAnsi="Times New Roman" w:cs="Times New Roman" w:hint="eastAsia"/>
        </w:rPr>
        <w:t xml:space="preserve"> and the details of c</w:t>
      </w:r>
      <w:r w:rsidR="007A3BD4" w:rsidRPr="007A3BD4">
        <w:rPr>
          <w:rFonts w:ascii="Times New Roman" w:hAnsi="Times New Roman" w:cs="Times New Roman"/>
        </w:rPr>
        <w:t>ovariates</w:t>
      </w:r>
    </w:p>
    <w:p w14:paraId="7E06076E" w14:textId="2B9270D6" w:rsidR="00B12E09" w:rsidRPr="007A3BD4" w:rsidRDefault="00B12E09">
      <w:pPr>
        <w:rPr>
          <w:rFonts w:ascii="Times New Roman" w:hAnsi="Times New Roman" w:cs="Times New Roman"/>
          <w:sz w:val="24"/>
          <w:szCs w:val="24"/>
        </w:rPr>
      </w:pPr>
    </w:p>
    <w:p w14:paraId="727E4F0E" w14:textId="77777777" w:rsidR="00D7325A" w:rsidRPr="00CF6C65" w:rsidRDefault="00D7325A">
      <w:pPr>
        <w:rPr>
          <w:rFonts w:ascii="Times New Roman" w:hAnsi="Times New Roman" w:cs="Times New Roman"/>
          <w:sz w:val="24"/>
          <w:szCs w:val="24"/>
        </w:rPr>
      </w:pPr>
    </w:p>
    <w:tbl>
      <w:tblPr>
        <w:tblStyle w:val="a7"/>
        <w:tblW w:w="10206" w:type="dxa"/>
        <w:jc w:val="center"/>
        <w:tblLayout w:type="fixed"/>
        <w:tblLook w:val="04A0" w:firstRow="1" w:lastRow="0" w:firstColumn="1" w:lastColumn="0" w:noHBand="0" w:noVBand="1"/>
      </w:tblPr>
      <w:tblGrid>
        <w:gridCol w:w="1701"/>
        <w:gridCol w:w="1701"/>
        <w:gridCol w:w="1927"/>
        <w:gridCol w:w="1475"/>
        <w:gridCol w:w="1701"/>
        <w:gridCol w:w="1701"/>
      </w:tblGrid>
      <w:tr w:rsidR="00404BA2" w14:paraId="12109C15" w14:textId="1A17E590" w:rsidTr="00404BA2">
        <w:trPr>
          <w:jc w:val="center"/>
        </w:trPr>
        <w:tc>
          <w:tcPr>
            <w:tcW w:w="1701" w:type="dxa"/>
          </w:tcPr>
          <w:p w14:paraId="7B8E5106" w14:textId="030688B1" w:rsidR="00404BA2" w:rsidRDefault="00404BA2">
            <w:pPr>
              <w:rPr>
                <w:rFonts w:hint="eastAsia"/>
              </w:rPr>
            </w:pPr>
            <w:r w:rsidRPr="00B12E09">
              <w:rPr>
                <w:rFonts w:ascii="Times New Roman" w:hAnsi="Times New Roman" w:cs="Times New Roman" w:hint="eastAsia"/>
                <w:sz w:val="24"/>
                <w:szCs w:val="24"/>
              </w:rPr>
              <w:t>Smoking</w:t>
            </w:r>
          </w:p>
        </w:tc>
        <w:tc>
          <w:tcPr>
            <w:tcW w:w="1701" w:type="dxa"/>
          </w:tcPr>
          <w:p w14:paraId="45E0CAA2" w14:textId="4D9EE156" w:rsidR="00404BA2" w:rsidRDefault="00404BA2">
            <w:pPr>
              <w:rPr>
                <w:rFonts w:ascii="Times New Roman" w:hAnsi="Times New Roman" w:cs="Times New Roman"/>
                <w:sz w:val="24"/>
                <w:szCs w:val="24"/>
              </w:rPr>
            </w:pPr>
            <w:r>
              <w:rPr>
                <w:rFonts w:ascii="Times New Roman" w:hAnsi="Times New Roman" w:cs="Times New Roman" w:hint="eastAsia"/>
                <w:sz w:val="24"/>
                <w:szCs w:val="24"/>
              </w:rPr>
              <w:t>Drinking</w:t>
            </w:r>
          </w:p>
        </w:tc>
        <w:tc>
          <w:tcPr>
            <w:tcW w:w="1927" w:type="dxa"/>
          </w:tcPr>
          <w:p w14:paraId="59ECC40B" w14:textId="15F152DE" w:rsidR="00404BA2" w:rsidRDefault="00404BA2">
            <w:pPr>
              <w:rPr>
                <w:rFonts w:ascii="Times New Roman" w:hAnsi="Times New Roman" w:cs="Times New Roman"/>
                <w:sz w:val="24"/>
                <w:szCs w:val="24"/>
              </w:rPr>
            </w:pPr>
            <w:r>
              <w:rPr>
                <w:rFonts w:ascii="Times New Roman" w:hAnsi="Times New Roman" w:cs="Times New Roman" w:hint="eastAsia"/>
                <w:sz w:val="24"/>
                <w:szCs w:val="24"/>
              </w:rPr>
              <w:t>Education</w:t>
            </w:r>
          </w:p>
        </w:tc>
        <w:tc>
          <w:tcPr>
            <w:tcW w:w="1475" w:type="dxa"/>
          </w:tcPr>
          <w:p w14:paraId="45A0A076" w14:textId="74CEDEE3" w:rsidR="00404BA2" w:rsidRDefault="00404BA2">
            <w:pPr>
              <w:rPr>
                <w:rFonts w:ascii="Times New Roman" w:hAnsi="Times New Roman" w:cs="Times New Roman"/>
                <w:sz w:val="24"/>
                <w:szCs w:val="24"/>
              </w:rPr>
            </w:pPr>
            <w:r>
              <w:rPr>
                <w:rFonts w:ascii="Times New Roman" w:hAnsi="Times New Roman" w:cs="Times New Roman" w:hint="eastAsia"/>
                <w:sz w:val="24"/>
                <w:szCs w:val="24"/>
              </w:rPr>
              <w:t>Environment</w:t>
            </w:r>
          </w:p>
        </w:tc>
        <w:tc>
          <w:tcPr>
            <w:tcW w:w="1701" w:type="dxa"/>
          </w:tcPr>
          <w:p w14:paraId="249C7869" w14:textId="4AE324EA" w:rsidR="00404BA2" w:rsidRDefault="00404BA2">
            <w:pPr>
              <w:rPr>
                <w:rFonts w:ascii="Times New Roman" w:hAnsi="Times New Roman" w:cs="Times New Roman"/>
                <w:sz w:val="24"/>
                <w:szCs w:val="24"/>
              </w:rPr>
            </w:pPr>
            <w:r>
              <w:rPr>
                <w:rFonts w:ascii="Times New Roman" w:hAnsi="Times New Roman" w:cs="Times New Roman" w:hint="eastAsia"/>
                <w:sz w:val="24"/>
                <w:szCs w:val="24"/>
              </w:rPr>
              <w:t>Activity</w:t>
            </w:r>
          </w:p>
        </w:tc>
        <w:tc>
          <w:tcPr>
            <w:tcW w:w="1701" w:type="dxa"/>
          </w:tcPr>
          <w:p w14:paraId="21CE7D49" w14:textId="4278AAB5" w:rsidR="00404BA2" w:rsidRDefault="00404BA2">
            <w:pPr>
              <w:rPr>
                <w:rFonts w:ascii="Times New Roman" w:hAnsi="Times New Roman" w:cs="Times New Roman"/>
                <w:sz w:val="24"/>
                <w:szCs w:val="24"/>
              </w:rPr>
            </w:pPr>
            <w:r>
              <w:rPr>
                <w:rFonts w:ascii="Times New Roman" w:hAnsi="Times New Roman" w:cs="Times New Roman" w:hint="eastAsia"/>
                <w:sz w:val="24"/>
                <w:szCs w:val="24"/>
              </w:rPr>
              <w:t>Medications</w:t>
            </w:r>
          </w:p>
        </w:tc>
      </w:tr>
      <w:tr w:rsidR="00404BA2" w14:paraId="2A0EB76C" w14:textId="09A9274C" w:rsidTr="00404BA2">
        <w:trPr>
          <w:trHeight w:val="2227"/>
          <w:jc w:val="center"/>
        </w:trPr>
        <w:tc>
          <w:tcPr>
            <w:tcW w:w="1701" w:type="dxa"/>
          </w:tcPr>
          <w:p w14:paraId="048F67B6" w14:textId="34646B57" w:rsidR="00404BA2" w:rsidRDefault="00404BA2">
            <w:pPr>
              <w:rPr>
                <w:rFonts w:ascii="Times New Roman" w:hAnsi="Times New Roman" w:cs="Times New Roman"/>
                <w:sz w:val="24"/>
                <w:szCs w:val="24"/>
              </w:rPr>
            </w:pPr>
            <w:r w:rsidRPr="00E36B94">
              <w:rPr>
                <w:rFonts w:ascii="Times New Roman" w:hAnsi="Times New Roman" w:cs="Times New Roman" w:hint="eastAsia"/>
                <w:sz w:val="24"/>
                <w:szCs w:val="24"/>
              </w:rPr>
              <w:t>Codes:</w:t>
            </w:r>
          </w:p>
          <w:p w14:paraId="0DB48AEE" w14:textId="77777777" w:rsidR="00404BA2" w:rsidRPr="00E36B94" w:rsidRDefault="00404BA2">
            <w:pPr>
              <w:rPr>
                <w:rFonts w:ascii="Times New Roman" w:hAnsi="Times New Roman" w:cs="Times New Roman"/>
                <w:sz w:val="24"/>
                <w:szCs w:val="24"/>
              </w:rPr>
            </w:pPr>
          </w:p>
          <w:p w14:paraId="6F44F343" w14:textId="4B283243" w:rsidR="00404BA2" w:rsidRPr="00E36B94" w:rsidRDefault="00404BA2">
            <w:pPr>
              <w:rPr>
                <w:rFonts w:ascii="Times New Roman" w:hAnsi="Times New Roman" w:cs="Times New Roman"/>
                <w:sz w:val="24"/>
                <w:szCs w:val="24"/>
              </w:rPr>
            </w:pPr>
            <w:r w:rsidRPr="00E36B94">
              <w:rPr>
                <w:rFonts w:ascii="Times New Roman" w:hAnsi="Times New Roman" w:cs="Times New Roman" w:hint="eastAsia"/>
                <w:sz w:val="24"/>
                <w:szCs w:val="24"/>
              </w:rPr>
              <w:t>1239</w:t>
            </w:r>
            <w:r>
              <w:rPr>
                <w:rFonts w:ascii="Times New Roman" w:hAnsi="Times New Roman" w:cs="Times New Roman" w:hint="eastAsia"/>
                <w:sz w:val="24"/>
                <w:szCs w:val="24"/>
              </w:rPr>
              <w:t>,1249,</w:t>
            </w:r>
          </w:p>
          <w:p w14:paraId="224084E2" w14:textId="6451BF52" w:rsidR="00404BA2" w:rsidRPr="00E36B94" w:rsidRDefault="00404BA2">
            <w:pPr>
              <w:rPr>
                <w:rFonts w:ascii="Times New Roman" w:hAnsi="Times New Roman" w:cs="Times New Roman"/>
                <w:sz w:val="24"/>
                <w:szCs w:val="24"/>
              </w:rPr>
            </w:pPr>
            <w:r w:rsidRPr="00E36B94">
              <w:rPr>
                <w:rFonts w:ascii="Times New Roman" w:hAnsi="Times New Roman" w:cs="Times New Roman" w:hint="eastAsia"/>
                <w:sz w:val="24"/>
                <w:szCs w:val="24"/>
              </w:rPr>
              <w:t>2644</w:t>
            </w:r>
          </w:p>
        </w:tc>
        <w:tc>
          <w:tcPr>
            <w:tcW w:w="1701" w:type="dxa"/>
          </w:tcPr>
          <w:p w14:paraId="73EB61A1" w14:textId="77777777" w:rsidR="00404BA2" w:rsidRDefault="00404BA2" w:rsidP="00F321A7">
            <w:pPr>
              <w:rPr>
                <w:rFonts w:ascii="Times New Roman" w:hAnsi="Times New Roman" w:cs="Times New Roman"/>
                <w:sz w:val="24"/>
                <w:szCs w:val="24"/>
              </w:rPr>
            </w:pPr>
            <w:r w:rsidRPr="00E36B94">
              <w:rPr>
                <w:rFonts w:ascii="Times New Roman" w:hAnsi="Times New Roman" w:cs="Times New Roman" w:hint="eastAsia"/>
                <w:sz w:val="24"/>
                <w:szCs w:val="24"/>
              </w:rPr>
              <w:t>Codes:</w:t>
            </w:r>
          </w:p>
          <w:p w14:paraId="42F065F0" w14:textId="77777777" w:rsidR="00404BA2" w:rsidRDefault="00404BA2">
            <w:pPr>
              <w:rPr>
                <w:rFonts w:ascii="Times New Roman" w:hAnsi="Times New Roman" w:cs="Times New Roman"/>
                <w:sz w:val="24"/>
                <w:szCs w:val="24"/>
              </w:rPr>
            </w:pPr>
          </w:p>
          <w:p w14:paraId="3663A9E0" w14:textId="77777777" w:rsidR="00404BA2" w:rsidRDefault="00404BA2">
            <w:pPr>
              <w:rPr>
                <w:rFonts w:ascii="Times New Roman" w:hAnsi="Times New Roman" w:cs="Times New Roman"/>
                <w:sz w:val="24"/>
                <w:szCs w:val="24"/>
              </w:rPr>
            </w:pPr>
            <w:r>
              <w:rPr>
                <w:rFonts w:ascii="Times New Roman" w:hAnsi="Times New Roman" w:cs="Times New Roman" w:hint="eastAsia"/>
                <w:sz w:val="24"/>
                <w:szCs w:val="24"/>
              </w:rPr>
              <w:t>1558,1568,1578,1588,1598,</w:t>
            </w:r>
          </w:p>
          <w:p w14:paraId="039CEB1F" w14:textId="3CF5A264" w:rsidR="00404BA2" w:rsidRPr="00E36B94" w:rsidRDefault="00404BA2">
            <w:pPr>
              <w:rPr>
                <w:rFonts w:ascii="Times New Roman" w:hAnsi="Times New Roman" w:cs="Times New Roman"/>
                <w:sz w:val="24"/>
                <w:szCs w:val="24"/>
              </w:rPr>
            </w:pPr>
            <w:r>
              <w:rPr>
                <w:rFonts w:ascii="Times New Roman" w:hAnsi="Times New Roman" w:cs="Times New Roman" w:hint="eastAsia"/>
                <w:sz w:val="24"/>
                <w:szCs w:val="24"/>
              </w:rPr>
              <w:t>1608,5364</w:t>
            </w:r>
          </w:p>
        </w:tc>
        <w:tc>
          <w:tcPr>
            <w:tcW w:w="1927" w:type="dxa"/>
          </w:tcPr>
          <w:p w14:paraId="280D456A" w14:textId="77777777" w:rsidR="00404BA2" w:rsidRDefault="00404BA2" w:rsidP="00F321A7">
            <w:pPr>
              <w:rPr>
                <w:rFonts w:ascii="Times New Roman" w:hAnsi="Times New Roman" w:cs="Times New Roman"/>
                <w:sz w:val="24"/>
                <w:szCs w:val="24"/>
              </w:rPr>
            </w:pPr>
            <w:r w:rsidRPr="00E36B94">
              <w:rPr>
                <w:rFonts w:ascii="Times New Roman" w:hAnsi="Times New Roman" w:cs="Times New Roman" w:hint="eastAsia"/>
                <w:sz w:val="24"/>
                <w:szCs w:val="24"/>
              </w:rPr>
              <w:t>Codes:</w:t>
            </w:r>
          </w:p>
          <w:p w14:paraId="70A15745" w14:textId="77777777" w:rsidR="00404BA2" w:rsidRDefault="00404BA2">
            <w:pPr>
              <w:rPr>
                <w:rFonts w:ascii="Times New Roman" w:hAnsi="Times New Roman" w:cs="Times New Roman"/>
                <w:sz w:val="24"/>
                <w:szCs w:val="24"/>
              </w:rPr>
            </w:pPr>
          </w:p>
          <w:p w14:paraId="789DD2DF" w14:textId="77777777" w:rsidR="00404BA2" w:rsidRDefault="00404BA2" w:rsidP="001E42CD">
            <w:pPr>
              <w:rPr>
                <w:rFonts w:ascii="Times New Roman" w:hAnsi="Times New Roman" w:cs="Times New Roman"/>
                <w:sz w:val="24"/>
                <w:szCs w:val="24"/>
              </w:rPr>
            </w:pPr>
            <w:r>
              <w:rPr>
                <w:rFonts w:ascii="Times New Roman" w:hAnsi="Times New Roman" w:cs="Times New Roman" w:hint="eastAsia"/>
                <w:sz w:val="24"/>
                <w:szCs w:val="24"/>
              </w:rPr>
              <w:t>6138</w:t>
            </w:r>
          </w:p>
          <w:p w14:paraId="3C4EEE9C" w14:textId="77777777" w:rsidR="00404BA2" w:rsidRPr="00E36B94" w:rsidRDefault="00404BA2">
            <w:pPr>
              <w:rPr>
                <w:rFonts w:ascii="Times New Roman" w:hAnsi="Times New Roman" w:cs="Times New Roman"/>
                <w:sz w:val="24"/>
                <w:szCs w:val="24"/>
              </w:rPr>
            </w:pPr>
          </w:p>
        </w:tc>
        <w:tc>
          <w:tcPr>
            <w:tcW w:w="1475" w:type="dxa"/>
          </w:tcPr>
          <w:p w14:paraId="202CCAF4" w14:textId="77777777" w:rsidR="00404BA2" w:rsidRDefault="00404BA2" w:rsidP="00F321A7">
            <w:pPr>
              <w:rPr>
                <w:rFonts w:ascii="Times New Roman" w:hAnsi="Times New Roman" w:cs="Times New Roman"/>
                <w:sz w:val="24"/>
                <w:szCs w:val="24"/>
              </w:rPr>
            </w:pPr>
            <w:r w:rsidRPr="00E36B94">
              <w:rPr>
                <w:rFonts w:ascii="Times New Roman" w:hAnsi="Times New Roman" w:cs="Times New Roman" w:hint="eastAsia"/>
                <w:sz w:val="24"/>
                <w:szCs w:val="24"/>
              </w:rPr>
              <w:t>Codes:</w:t>
            </w:r>
          </w:p>
          <w:p w14:paraId="65101F55" w14:textId="77777777" w:rsidR="00404BA2" w:rsidRDefault="00404BA2">
            <w:pPr>
              <w:rPr>
                <w:rFonts w:ascii="Times New Roman" w:hAnsi="Times New Roman" w:cs="Times New Roman"/>
                <w:sz w:val="24"/>
                <w:szCs w:val="24"/>
              </w:rPr>
            </w:pPr>
          </w:p>
          <w:p w14:paraId="1D8AA67D" w14:textId="48F62C71" w:rsidR="00404BA2" w:rsidRPr="00E36B94" w:rsidRDefault="00404BA2">
            <w:pPr>
              <w:rPr>
                <w:rFonts w:ascii="Times New Roman" w:hAnsi="Times New Roman" w:cs="Times New Roman"/>
                <w:sz w:val="24"/>
                <w:szCs w:val="24"/>
              </w:rPr>
            </w:pPr>
            <w:r>
              <w:rPr>
                <w:rFonts w:ascii="Times New Roman" w:hAnsi="Times New Roman" w:cs="Times New Roman" w:hint="eastAsia"/>
                <w:sz w:val="24"/>
                <w:szCs w:val="24"/>
              </w:rPr>
              <w:t>20118</w:t>
            </w:r>
          </w:p>
        </w:tc>
        <w:tc>
          <w:tcPr>
            <w:tcW w:w="1701" w:type="dxa"/>
          </w:tcPr>
          <w:p w14:paraId="7172A524" w14:textId="77777777" w:rsidR="00404BA2" w:rsidRDefault="00404BA2" w:rsidP="00F321A7">
            <w:pPr>
              <w:rPr>
                <w:rFonts w:ascii="Times New Roman" w:hAnsi="Times New Roman" w:cs="Times New Roman"/>
                <w:sz w:val="24"/>
                <w:szCs w:val="24"/>
              </w:rPr>
            </w:pPr>
            <w:r w:rsidRPr="00E36B94">
              <w:rPr>
                <w:rFonts w:ascii="Times New Roman" w:hAnsi="Times New Roman" w:cs="Times New Roman" w:hint="eastAsia"/>
                <w:sz w:val="24"/>
                <w:szCs w:val="24"/>
              </w:rPr>
              <w:t>Codes:</w:t>
            </w:r>
          </w:p>
          <w:p w14:paraId="1E9C96C4" w14:textId="77777777" w:rsidR="00404BA2" w:rsidRDefault="00404BA2">
            <w:pPr>
              <w:rPr>
                <w:rFonts w:ascii="Times New Roman" w:hAnsi="Times New Roman" w:cs="Times New Roman"/>
                <w:sz w:val="24"/>
                <w:szCs w:val="24"/>
              </w:rPr>
            </w:pPr>
          </w:p>
          <w:p w14:paraId="787F0F44" w14:textId="468EAC17" w:rsidR="00404BA2" w:rsidRPr="00E36B94" w:rsidRDefault="00404BA2">
            <w:pPr>
              <w:rPr>
                <w:rFonts w:ascii="Times New Roman" w:hAnsi="Times New Roman" w:cs="Times New Roman"/>
                <w:sz w:val="24"/>
                <w:szCs w:val="24"/>
              </w:rPr>
            </w:pPr>
            <w:r w:rsidRPr="001E42CD">
              <w:rPr>
                <w:rFonts w:ascii="Times New Roman" w:hAnsi="Times New Roman" w:cs="Times New Roman" w:hint="eastAsia"/>
                <w:sz w:val="24"/>
                <w:szCs w:val="24"/>
              </w:rPr>
              <w:t>874,894,914,864,884,904</w:t>
            </w:r>
          </w:p>
        </w:tc>
        <w:tc>
          <w:tcPr>
            <w:tcW w:w="1701" w:type="dxa"/>
          </w:tcPr>
          <w:p w14:paraId="04B8FE11" w14:textId="77777777" w:rsidR="00404BA2" w:rsidRDefault="00404BA2" w:rsidP="00404BA2">
            <w:pPr>
              <w:rPr>
                <w:rFonts w:ascii="Times New Roman" w:hAnsi="Times New Roman" w:cs="Times New Roman"/>
                <w:sz w:val="24"/>
                <w:szCs w:val="24"/>
              </w:rPr>
            </w:pPr>
            <w:r w:rsidRPr="00E36B94">
              <w:rPr>
                <w:rFonts w:ascii="Times New Roman" w:hAnsi="Times New Roman" w:cs="Times New Roman" w:hint="eastAsia"/>
                <w:sz w:val="24"/>
                <w:szCs w:val="24"/>
              </w:rPr>
              <w:t>Codes:</w:t>
            </w:r>
          </w:p>
          <w:p w14:paraId="4F31E23F" w14:textId="77777777" w:rsidR="00404BA2" w:rsidRDefault="00404BA2" w:rsidP="00F321A7">
            <w:pPr>
              <w:rPr>
                <w:rFonts w:ascii="Times New Roman" w:hAnsi="Times New Roman" w:cs="Times New Roman"/>
                <w:sz w:val="24"/>
                <w:szCs w:val="24"/>
              </w:rPr>
            </w:pPr>
          </w:p>
          <w:p w14:paraId="395556EA" w14:textId="6CD1FF09" w:rsidR="00404BA2" w:rsidRPr="00E36B94" w:rsidRDefault="00404BA2" w:rsidP="00F321A7">
            <w:pPr>
              <w:rPr>
                <w:rFonts w:ascii="Times New Roman" w:hAnsi="Times New Roman" w:cs="Times New Roman"/>
                <w:sz w:val="24"/>
                <w:szCs w:val="24"/>
              </w:rPr>
            </w:pPr>
            <w:r>
              <w:rPr>
                <w:rFonts w:ascii="Times New Roman" w:hAnsi="Times New Roman" w:cs="Times New Roman" w:hint="eastAsia"/>
                <w:sz w:val="24"/>
                <w:szCs w:val="24"/>
              </w:rPr>
              <w:t>6153,6177</w:t>
            </w:r>
          </w:p>
        </w:tc>
      </w:tr>
    </w:tbl>
    <w:p w14:paraId="71012B7E" w14:textId="2F25880E" w:rsidR="00B12E09" w:rsidRDefault="00B12E09">
      <w:pPr>
        <w:rPr>
          <w:rFonts w:hint="eastAsia"/>
        </w:rPr>
      </w:pPr>
    </w:p>
    <w:tbl>
      <w:tblPr>
        <w:tblStyle w:val="a7"/>
        <w:tblW w:w="14175" w:type="dxa"/>
        <w:jc w:val="center"/>
        <w:tblLayout w:type="fixed"/>
        <w:tblLook w:val="04A0" w:firstRow="1" w:lastRow="0" w:firstColumn="1" w:lastColumn="0" w:noHBand="0" w:noVBand="1"/>
      </w:tblPr>
      <w:tblGrid>
        <w:gridCol w:w="1575"/>
        <w:gridCol w:w="1575"/>
        <w:gridCol w:w="1575"/>
        <w:gridCol w:w="1575"/>
        <w:gridCol w:w="1575"/>
        <w:gridCol w:w="1575"/>
        <w:gridCol w:w="1575"/>
        <w:gridCol w:w="1575"/>
        <w:gridCol w:w="1575"/>
      </w:tblGrid>
      <w:tr w:rsidR="00F321A7" w:rsidRPr="00B12E09" w14:paraId="6ECC22B1" w14:textId="77777777" w:rsidTr="00F321A7">
        <w:trPr>
          <w:jc w:val="center"/>
        </w:trPr>
        <w:tc>
          <w:tcPr>
            <w:tcW w:w="1175" w:type="dxa"/>
          </w:tcPr>
          <w:p w14:paraId="1280C96E" w14:textId="77777777" w:rsidR="00F321A7" w:rsidRDefault="00F321A7" w:rsidP="006465D7">
            <w:pPr>
              <w:rPr>
                <w:rFonts w:hint="eastAsia"/>
              </w:rPr>
            </w:pPr>
            <w:r>
              <w:rPr>
                <w:rFonts w:ascii="Times New Roman" w:hAnsi="Times New Roman" w:cs="Times New Roman" w:hint="eastAsia"/>
                <w:sz w:val="24"/>
                <w:szCs w:val="24"/>
              </w:rPr>
              <w:t>H</w:t>
            </w:r>
            <w:r w:rsidRPr="002F2530">
              <w:rPr>
                <w:rFonts w:ascii="Times New Roman" w:hAnsi="Times New Roman" w:cs="Times New Roman"/>
                <w:sz w:val="24"/>
                <w:szCs w:val="24"/>
              </w:rPr>
              <w:t>ypertension</w:t>
            </w:r>
          </w:p>
        </w:tc>
        <w:tc>
          <w:tcPr>
            <w:tcW w:w="1175" w:type="dxa"/>
          </w:tcPr>
          <w:p w14:paraId="71BC3196" w14:textId="77777777" w:rsidR="00F321A7" w:rsidRPr="00B12E09" w:rsidRDefault="00F321A7" w:rsidP="006465D7">
            <w:pPr>
              <w:rPr>
                <w:rFonts w:ascii="Times New Roman" w:hAnsi="Times New Roman" w:cs="Times New Roman"/>
                <w:sz w:val="24"/>
                <w:szCs w:val="24"/>
              </w:rPr>
            </w:pPr>
            <w:r>
              <w:rPr>
                <w:rFonts w:ascii="Times New Roman" w:hAnsi="Times New Roman" w:cs="Times New Roman" w:hint="eastAsia"/>
                <w:sz w:val="24"/>
                <w:szCs w:val="24"/>
              </w:rPr>
              <w:t>D</w:t>
            </w:r>
            <w:r w:rsidRPr="002F2530">
              <w:rPr>
                <w:rFonts w:ascii="Times New Roman" w:hAnsi="Times New Roman" w:cs="Times New Roman"/>
                <w:sz w:val="24"/>
                <w:szCs w:val="24"/>
              </w:rPr>
              <w:t>iabetes</w:t>
            </w:r>
          </w:p>
        </w:tc>
        <w:tc>
          <w:tcPr>
            <w:tcW w:w="1174" w:type="dxa"/>
          </w:tcPr>
          <w:p w14:paraId="5BC74346" w14:textId="77777777" w:rsidR="00F321A7" w:rsidRPr="00B12E09" w:rsidRDefault="00F321A7" w:rsidP="006465D7">
            <w:pPr>
              <w:rPr>
                <w:rFonts w:ascii="Times New Roman" w:hAnsi="Times New Roman" w:cs="Times New Roman"/>
                <w:sz w:val="24"/>
                <w:szCs w:val="24"/>
              </w:rPr>
            </w:pPr>
            <w:r>
              <w:rPr>
                <w:rFonts w:ascii="Times New Roman" w:hAnsi="Times New Roman" w:cs="Times New Roman" w:hint="eastAsia"/>
                <w:sz w:val="24"/>
                <w:szCs w:val="24"/>
              </w:rPr>
              <w:t>CHD</w:t>
            </w:r>
          </w:p>
        </w:tc>
        <w:tc>
          <w:tcPr>
            <w:tcW w:w="1174" w:type="dxa"/>
          </w:tcPr>
          <w:p w14:paraId="066CB0F8" w14:textId="77777777" w:rsidR="00F321A7" w:rsidRPr="00B12E09" w:rsidRDefault="00F321A7" w:rsidP="006465D7">
            <w:pPr>
              <w:rPr>
                <w:rFonts w:ascii="Times New Roman" w:hAnsi="Times New Roman" w:cs="Times New Roman"/>
                <w:sz w:val="24"/>
                <w:szCs w:val="24"/>
              </w:rPr>
            </w:pPr>
            <w:r>
              <w:rPr>
                <w:rFonts w:ascii="Times New Roman" w:hAnsi="Times New Roman" w:cs="Times New Roman" w:hint="eastAsia"/>
                <w:sz w:val="24"/>
                <w:szCs w:val="24"/>
              </w:rPr>
              <w:t>CAD</w:t>
            </w:r>
          </w:p>
        </w:tc>
        <w:tc>
          <w:tcPr>
            <w:tcW w:w="1174" w:type="dxa"/>
          </w:tcPr>
          <w:p w14:paraId="12CDDA16" w14:textId="77777777" w:rsidR="00F321A7" w:rsidRPr="00B12E09" w:rsidRDefault="00F321A7" w:rsidP="006465D7">
            <w:pPr>
              <w:rPr>
                <w:rFonts w:ascii="Times New Roman" w:hAnsi="Times New Roman" w:cs="Times New Roman"/>
                <w:sz w:val="24"/>
                <w:szCs w:val="24"/>
              </w:rPr>
            </w:pPr>
            <w:r>
              <w:rPr>
                <w:rFonts w:ascii="Times New Roman" w:hAnsi="Times New Roman" w:cs="Times New Roman" w:hint="eastAsia"/>
                <w:sz w:val="24"/>
                <w:szCs w:val="24"/>
              </w:rPr>
              <w:t>Stroke</w:t>
            </w:r>
          </w:p>
        </w:tc>
        <w:tc>
          <w:tcPr>
            <w:tcW w:w="1174" w:type="dxa"/>
          </w:tcPr>
          <w:p w14:paraId="7E34361C" w14:textId="77777777" w:rsidR="00F321A7" w:rsidRPr="00B12E09" w:rsidRDefault="00F321A7" w:rsidP="006465D7">
            <w:pPr>
              <w:rPr>
                <w:rFonts w:ascii="Times New Roman" w:hAnsi="Times New Roman" w:cs="Times New Roman"/>
                <w:sz w:val="24"/>
                <w:szCs w:val="24"/>
              </w:rPr>
            </w:pPr>
            <w:r>
              <w:rPr>
                <w:rFonts w:ascii="Times New Roman" w:hAnsi="Times New Roman" w:cs="Times New Roman" w:hint="eastAsia"/>
                <w:sz w:val="24"/>
                <w:szCs w:val="24"/>
              </w:rPr>
              <w:t>PVD</w:t>
            </w:r>
          </w:p>
        </w:tc>
        <w:tc>
          <w:tcPr>
            <w:tcW w:w="1174" w:type="dxa"/>
          </w:tcPr>
          <w:p w14:paraId="340CD240" w14:textId="77777777" w:rsidR="00F321A7" w:rsidRPr="00B12E09" w:rsidRDefault="00F321A7" w:rsidP="006465D7">
            <w:pPr>
              <w:rPr>
                <w:rFonts w:ascii="Times New Roman" w:hAnsi="Times New Roman" w:cs="Times New Roman"/>
                <w:sz w:val="24"/>
                <w:szCs w:val="24"/>
              </w:rPr>
            </w:pPr>
            <w:r w:rsidRPr="00B12E09">
              <w:rPr>
                <w:rFonts w:ascii="Times New Roman" w:hAnsi="Times New Roman" w:cs="Times New Roman" w:hint="eastAsia"/>
                <w:sz w:val="24"/>
                <w:szCs w:val="24"/>
              </w:rPr>
              <w:t>AAA</w:t>
            </w:r>
          </w:p>
        </w:tc>
        <w:tc>
          <w:tcPr>
            <w:tcW w:w="1174" w:type="dxa"/>
          </w:tcPr>
          <w:p w14:paraId="6AEAA150" w14:textId="77777777" w:rsidR="00F321A7" w:rsidRPr="00B12E09" w:rsidRDefault="00F321A7" w:rsidP="006465D7">
            <w:pPr>
              <w:rPr>
                <w:rFonts w:ascii="Times New Roman" w:hAnsi="Times New Roman" w:cs="Times New Roman"/>
                <w:sz w:val="24"/>
                <w:szCs w:val="24"/>
              </w:rPr>
            </w:pPr>
            <w:r w:rsidRPr="00B12E09">
              <w:rPr>
                <w:rFonts w:ascii="Times New Roman" w:hAnsi="Times New Roman" w:cs="Times New Roman" w:hint="eastAsia"/>
                <w:sz w:val="24"/>
                <w:szCs w:val="24"/>
              </w:rPr>
              <w:t>TAA</w:t>
            </w:r>
          </w:p>
        </w:tc>
        <w:tc>
          <w:tcPr>
            <w:tcW w:w="1174" w:type="dxa"/>
          </w:tcPr>
          <w:p w14:paraId="463B5F84" w14:textId="77777777" w:rsidR="00F321A7" w:rsidRPr="00B12E09" w:rsidRDefault="00F321A7" w:rsidP="006465D7">
            <w:pPr>
              <w:rPr>
                <w:rFonts w:ascii="Times New Roman" w:hAnsi="Times New Roman" w:cs="Times New Roman"/>
                <w:sz w:val="24"/>
                <w:szCs w:val="24"/>
              </w:rPr>
            </w:pPr>
            <w:r w:rsidRPr="00B12E09">
              <w:rPr>
                <w:rFonts w:ascii="Times New Roman" w:hAnsi="Times New Roman" w:cs="Times New Roman" w:hint="eastAsia"/>
                <w:sz w:val="24"/>
                <w:szCs w:val="24"/>
              </w:rPr>
              <w:t>AD</w:t>
            </w:r>
          </w:p>
        </w:tc>
      </w:tr>
      <w:tr w:rsidR="00F321A7" w:rsidRPr="00E36B94" w14:paraId="259D2CBE" w14:textId="77777777" w:rsidTr="00F321A7">
        <w:trPr>
          <w:trHeight w:val="2227"/>
          <w:jc w:val="center"/>
        </w:trPr>
        <w:tc>
          <w:tcPr>
            <w:tcW w:w="1175" w:type="dxa"/>
          </w:tcPr>
          <w:p w14:paraId="285BD50A"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Codes:</w:t>
            </w:r>
          </w:p>
          <w:p w14:paraId="6608BA78" w14:textId="77777777" w:rsidR="00F321A7" w:rsidRPr="00E36B94" w:rsidRDefault="00F321A7" w:rsidP="006465D7">
            <w:pPr>
              <w:rPr>
                <w:rFonts w:ascii="Times New Roman" w:hAnsi="Times New Roman" w:cs="Times New Roman"/>
                <w:sz w:val="24"/>
                <w:szCs w:val="24"/>
              </w:rPr>
            </w:pPr>
          </w:p>
          <w:p w14:paraId="77E685A0"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4080</w:t>
            </w:r>
          </w:p>
          <w:p w14:paraId="61A14AE0"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4079</w:t>
            </w:r>
          </w:p>
          <w:p w14:paraId="03C2680B"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6150</w:t>
            </w:r>
          </w:p>
          <w:p w14:paraId="541E1A5A"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6153</w:t>
            </w:r>
          </w:p>
          <w:p w14:paraId="21E5DCEB"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6177</w:t>
            </w:r>
          </w:p>
        </w:tc>
        <w:tc>
          <w:tcPr>
            <w:tcW w:w="1175" w:type="dxa"/>
          </w:tcPr>
          <w:p w14:paraId="0A58DE45"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0E53A7B4" w14:textId="77777777" w:rsidR="00F321A7" w:rsidRPr="00E36B94" w:rsidRDefault="00F321A7" w:rsidP="006465D7">
            <w:pPr>
              <w:rPr>
                <w:rFonts w:ascii="Times New Roman" w:hAnsi="Times New Roman" w:cs="Times New Roman"/>
                <w:sz w:val="24"/>
                <w:szCs w:val="24"/>
              </w:rPr>
            </w:pPr>
          </w:p>
          <w:p w14:paraId="3A55656E"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E10</w:t>
            </w:r>
          </w:p>
          <w:p w14:paraId="7920F9E9"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E11</w:t>
            </w:r>
          </w:p>
          <w:p w14:paraId="01204E65"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E12</w:t>
            </w:r>
          </w:p>
          <w:p w14:paraId="4F6C17C9"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E13</w:t>
            </w:r>
          </w:p>
          <w:p w14:paraId="00D9627A"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E14</w:t>
            </w:r>
          </w:p>
        </w:tc>
        <w:tc>
          <w:tcPr>
            <w:tcW w:w="1174" w:type="dxa"/>
          </w:tcPr>
          <w:p w14:paraId="2EA382D7"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51DF4580" w14:textId="77777777" w:rsidR="00F321A7" w:rsidRDefault="00F321A7" w:rsidP="006465D7">
            <w:pPr>
              <w:rPr>
                <w:rFonts w:ascii="Times New Roman" w:hAnsi="Times New Roman" w:cs="Times New Roman"/>
                <w:sz w:val="24"/>
                <w:szCs w:val="24"/>
              </w:rPr>
            </w:pPr>
          </w:p>
          <w:p w14:paraId="7D7A2B35" w14:textId="77777777" w:rsidR="00F321A7" w:rsidRPr="00E36B94" w:rsidRDefault="00F321A7" w:rsidP="006465D7">
            <w:pPr>
              <w:rPr>
                <w:rFonts w:ascii="Times New Roman" w:hAnsi="Times New Roman" w:cs="Times New Roman"/>
                <w:sz w:val="24"/>
                <w:szCs w:val="24"/>
              </w:rPr>
            </w:pPr>
            <w:r>
              <w:rPr>
                <w:rFonts w:ascii="Times New Roman" w:hAnsi="Times New Roman" w:cs="Times New Roman" w:hint="eastAsia"/>
                <w:sz w:val="24"/>
                <w:szCs w:val="24"/>
              </w:rPr>
              <w:t>I20-I25</w:t>
            </w:r>
          </w:p>
        </w:tc>
        <w:tc>
          <w:tcPr>
            <w:tcW w:w="1174" w:type="dxa"/>
          </w:tcPr>
          <w:p w14:paraId="52D88165"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56E8E452" w14:textId="77777777" w:rsidR="00F321A7" w:rsidRDefault="00F321A7" w:rsidP="006465D7">
            <w:pPr>
              <w:rPr>
                <w:rFonts w:ascii="Times New Roman" w:hAnsi="Times New Roman" w:cs="Times New Roman"/>
                <w:sz w:val="24"/>
                <w:szCs w:val="24"/>
              </w:rPr>
            </w:pPr>
          </w:p>
          <w:p w14:paraId="3F8BF575" w14:textId="77777777" w:rsidR="00F321A7" w:rsidRPr="00E36B94" w:rsidRDefault="00F321A7" w:rsidP="006465D7">
            <w:pPr>
              <w:rPr>
                <w:rFonts w:ascii="Times New Roman" w:hAnsi="Times New Roman" w:cs="Times New Roman"/>
                <w:sz w:val="24"/>
                <w:szCs w:val="24"/>
              </w:rPr>
            </w:pPr>
            <w:r>
              <w:rPr>
                <w:rFonts w:ascii="Times New Roman" w:hAnsi="Times New Roman" w:cs="Times New Roman" w:hint="eastAsia"/>
                <w:sz w:val="24"/>
                <w:szCs w:val="24"/>
              </w:rPr>
              <w:t>I70</w:t>
            </w:r>
          </w:p>
        </w:tc>
        <w:tc>
          <w:tcPr>
            <w:tcW w:w="1174" w:type="dxa"/>
          </w:tcPr>
          <w:p w14:paraId="775450E8"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78B0D874" w14:textId="77777777" w:rsidR="00F321A7" w:rsidRDefault="00F321A7" w:rsidP="006465D7">
            <w:pPr>
              <w:rPr>
                <w:rFonts w:ascii="Times New Roman" w:hAnsi="Times New Roman" w:cs="Times New Roman"/>
                <w:sz w:val="24"/>
                <w:szCs w:val="24"/>
              </w:rPr>
            </w:pPr>
          </w:p>
          <w:p w14:paraId="336CC3DE" w14:textId="77777777" w:rsidR="00F321A7" w:rsidRPr="00E36B94" w:rsidRDefault="00F321A7" w:rsidP="006465D7">
            <w:pPr>
              <w:rPr>
                <w:rFonts w:ascii="Times New Roman" w:hAnsi="Times New Roman" w:cs="Times New Roman"/>
                <w:sz w:val="24"/>
                <w:szCs w:val="24"/>
              </w:rPr>
            </w:pPr>
            <w:r>
              <w:rPr>
                <w:rFonts w:ascii="Times New Roman" w:hAnsi="Times New Roman" w:cs="Times New Roman" w:hint="eastAsia"/>
                <w:sz w:val="24"/>
                <w:szCs w:val="24"/>
              </w:rPr>
              <w:t>I60-I63</w:t>
            </w:r>
          </w:p>
        </w:tc>
        <w:tc>
          <w:tcPr>
            <w:tcW w:w="1174" w:type="dxa"/>
          </w:tcPr>
          <w:p w14:paraId="6EA2DA83"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78A5BCA3" w14:textId="77777777" w:rsidR="00F321A7" w:rsidRDefault="00F321A7" w:rsidP="006465D7">
            <w:pPr>
              <w:rPr>
                <w:rFonts w:ascii="Times New Roman" w:hAnsi="Times New Roman" w:cs="Times New Roman"/>
                <w:sz w:val="24"/>
                <w:szCs w:val="24"/>
              </w:rPr>
            </w:pPr>
          </w:p>
          <w:p w14:paraId="0942AC88" w14:textId="77777777" w:rsidR="00F321A7" w:rsidRPr="00E36B94" w:rsidRDefault="00F321A7" w:rsidP="006465D7">
            <w:pPr>
              <w:rPr>
                <w:rFonts w:ascii="Times New Roman" w:hAnsi="Times New Roman" w:cs="Times New Roman"/>
                <w:sz w:val="24"/>
                <w:szCs w:val="24"/>
              </w:rPr>
            </w:pPr>
            <w:r>
              <w:rPr>
                <w:rFonts w:ascii="Times New Roman" w:hAnsi="Times New Roman" w:cs="Times New Roman" w:hint="eastAsia"/>
                <w:sz w:val="24"/>
                <w:szCs w:val="24"/>
              </w:rPr>
              <w:t>I73</w:t>
            </w:r>
          </w:p>
        </w:tc>
        <w:tc>
          <w:tcPr>
            <w:tcW w:w="1174" w:type="dxa"/>
          </w:tcPr>
          <w:p w14:paraId="5DE1A5DC"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34A4DB90" w14:textId="77777777" w:rsidR="00F321A7" w:rsidRPr="00E36B94" w:rsidRDefault="00F321A7" w:rsidP="006465D7">
            <w:pPr>
              <w:rPr>
                <w:rFonts w:ascii="Times New Roman" w:hAnsi="Times New Roman" w:cs="Times New Roman"/>
                <w:sz w:val="24"/>
                <w:szCs w:val="24"/>
              </w:rPr>
            </w:pPr>
          </w:p>
          <w:p w14:paraId="3387F9B5"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I713</w:t>
            </w:r>
          </w:p>
          <w:p w14:paraId="028358CB"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I714</w:t>
            </w:r>
          </w:p>
        </w:tc>
        <w:tc>
          <w:tcPr>
            <w:tcW w:w="1174" w:type="dxa"/>
          </w:tcPr>
          <w:p w14:paraId="03F21487"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790A3C09" w14:textId="77777777" w:rsidR="00F321A7" w:rsidRPr="00E36B94" w:rsidRDefault="00F321A7" w:rsidP="006465D7">
            <w:pPr>
              <w:rPr>
                <w:rFonts w:ascii="Times New Roman" w:hAnsi="Times New Roman" w:cs="Times New Roman"/>
                <w:sz w:val="24"/>
                <w:szCs w:val="24"/>
              </w:rPr>
            </w:pPr>
          </w:p>
          <w:p w14:paraId="18AE108F"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I711</w:t>
            </w:r>
          </w:p>
          <w:p w14:paraId="68BE0CD9"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I712</w:t>
            </w:r>
          </w:p>
        </w:tc>
        <w:tc>
          <w:tcPr>
            <w:tcW w:w="1174" w:type="dxa"/>
          </w:tcPr>
          <w:p w14:paraId="5DFFC4EF" w14:textId="77777777" w:rsidR="00F321A7"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ICD 10:</w:t>
            </w:r>
          </w:p>
          <w:p w14:paraId="3832F870" w14:textId="77777777" w:rsidR="00F321A7" w:rsidRPr="00E36B94" w:rsidRDefault="00F321A7" w:rsidP="006465D7">
            <w:pPr>
              <w:rPr>
                <w:rFonts w:ascii="Times New Roman" w:hAnsi="Times New Roman" w:cs="Times New Roman"/>
                <w:sz w:val="24"/>
                <w:szCs w:val="24"/>
              </w:rPr>
            </w:pPr>
          </w:p>
          <w:p w14:paraId="1671C4F2" w14:textId="77777777" w:rsidR="00F321A7" w:rsidRPr="00E36B94" w:rsidRDefault="00F321A7" w:rsidP="006465D7">
            <w:pPr>
              <w:rPr>
                <w:rFonts w:ascii="Times New Roman" w:hAnsi="Times New Roman" w:cs="Times New Roman"/>
                <w:sz w:val="24"/>
                <w:szCs w:val="24"/>
              </w:rPr>
            </w:pPr>
            <w:r w:rsidRPr="00E36B94">
              <w:rPr>
                <w:rFonts w:ascii="Times New Roman" w:hAnsi="Times New Roman" w:cs="Times New Roman" w:hint="eastAsia"/>
                <w:sz w:val="24"/>
                <w:szCs w:val="24"/>
              </w:rPr>
              <w:t>I710</w:t>
            </w:r>
          </w:p>
        </w:tc>
      </w:tr>
    </w:tbl>
    <w:p w14:paraId="5D409AD5" w14:textId="77777777" w:rsidR="00F321A7" w:rsidRDefault="00F321A7" w:rsidP="0018610F">
      <w:pPr>
        <w:spacing w:line="360" w:lineRule="auto"/>
        <w:rPr>
          <w:rFonts w:ascii="Times New Roman" w:hAnsi="Times New Roman" w:cs="Times New Roman"/>
          <w:sz w:val="24"/>
          <w:szCs w:val="24"/>
        </w:rPr>
      </w:pPr>
    </w:p>
    <w:p w14:paraId="2F718088" w14:textId="6B0A5233" w:rsidR="008D10DA" w:rsidRDefault="008D10DA" w:rsidP="0018610F">
      <w:pPr>
        <w:spacing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CAD,</w:t>
      </w:r>
      <w:r w:rsidRPr="008D10DA">
        <w:rPr>
          <w:rFonts w:hint="eastAsia"/>
        </w:rPr>
        <w:t xml:space="preserve"> </w:t>
      </w:r>
      <w:r w:rsidRPr="008D10DA">
        <w:rPr>
          <w:rFonts w:ascii="Times New Roman" w:hAnsi="Times New Roman" w:cs="Times New Roman" w:hint="eastAsia"/>
          <w:sz w:val="24"/>
          <w:szCs w:val="24"/>
        </w:rPr>
        <w:t>Coronary atherosclerosis</w:t>
      </w:r>
      <w:r>
        <w:rPr>
          <w:rFonts w:ascii="Times New Roman" w:hAnsi="Times New Roman" w:cs="Times New Roman" w:hint="eastAsia"/>
          <w:sz w:val="24"/>
          <w:szCs w:val="24"/>
        </w:rPr>
        <w:t>; CHD,</w:t>
      </w:r>
      <w:r w:rsidRPr="008D10DA">
        <w:rPr>
          <w:rFonts w:ascii="Times New Roman" w:hAnsi="Times New Roman" w:cs="Times New Roman" w:hint="eastAsia"/>
          <w:sz w:val="24"/>
          <w:szCs w:val="24"/>
        </w:rPr>
        <w:t xml:space="preserve"> coronary heart disease</w:t>
      </w:r>
      <w:r>
        <w:rPr>
          <w:rFonts w:ascii="Times New Roman" w:hAnsi="Times New Roman" w:cs="Times New Roman" w:hint="eastAsia"/>
          <w:sz w:val="24"/>
          <w:szCs w:val="24"/>
        </w:rPr>
        <w:t>; PVD,</w:t>
      </w:r>
      <w:r w:rsidRPr="008D10DA">
        <w:rPr>
          <w:rFonts w:hint="eastAsia"/>
        </w:rPr>
        <w:t xml:space="preserve"> </w:t>
      </w:r>
      <w:r>
        <w:rPr>
          <w:rFonts w:ascii="Times New Roman" w:hAnsi="Times New Roman" w:cs="Times New Roman" w:hint="eastAsia"/>
          <w:sz w:val="24"/>
          <w:szCs w:val="24"/>
        </w:rPr>
        <w:t>p</w:t>
      </w:r>
      <w:r w:rsidRPr="008D10DA">
        <w:rPr>
          <w:rFonts w:ascii="Times New Roman" w:hAnsi="Times New Roman" w:cs="Times New Roman" w:hint="eastAsia"/>
          <w:sz w:val="24"/>
          <w:szCs w:val="24"/>
        </w:rPr>
        <w:t>eripheral vascular disease</w:t>
      </w:r>
      <w:r>
        <w:rPr>
          <w:rFonts w:ascii="Times New Roman" w:hAnsi="Times New Roman" w:cs="Times New Roman" w:hint="eastAsia"/>
          <w:sz w:val="24"/>
          <w:szCs w:val="24"/>
        </w:rPr>
        <w:t>;</w:t>
      </w:r>
      <w:r w:rsidR="008A1077">
        <w:rPr>
          <w:rFonts w:ascii="Times New Roman" w:hAnsi="Times New Roman" w:cs="Times New Roman" w:hint="eastAsia"/>
          <w:sz w:val="24"/>
          <w:szCs w:val="24"/>
        </w:rPr>
        <w:t xml:space="preserve"> </w:t>
      </w:r>
      <w:r w:rsidR="008A1077" w:rsidRPr="004A5229">
        <w:rPr>
          <w:rFonts w:ascii="Times New Roman" w:hAnsi="Times New Roman" w:cs="Times New Roman"/>
          <w:sz w:val="24"/>
          <w:szCs w:val="24"/>
        </w:rPr>
        <w:t>AD</w:t>
      </w:r>
      <w:r w:rsidR="008A1077">
        <w:rPr>
          <w:rFonts w:ascii="Times New Roman" w:hAnsi="Times New Roman" w:cs="Times New Roman" w:hint="eastAsia"/>
          <w:sz w:val="24"/>
          <w:szCs w:val="24"/>
        </w:rPr>
        <w:t>,</w:t>
      </w:r>
      <w:r w:rsidR="008A1077" w:rsidRPr="004A5229">
        <w:rPr>
          <w:rFonts w:ascii="Times New Roman" w:hAnsi="Times New Roman" w:cs="Times New Roman"/>
          <w:sz w:val="24"/>
          <w:szCs w:val="24"/>
        </w:rPr>
        <w:t xml:space="preserve"> aortic dissection; AAA</w:t>
      </w:r>
      <w:r w:rsidR="008A1077">
        <w:rPr>
          <w:rFonts w:ascii="Times New Roman" w:hAnsi="Times New Roman" w:cs="Times New Roman" w:hint="eastAsia"/>
          <w:sz w:val="24"/>
          <w:szCs w:val="24"/>
        </w:rPr>
        <w:t xml:space="preserve">, </w:t>
      </w:r>
      <w:r w:rsidR="008A1077" w:rsidRPr="004A5229">
        <w:rPr>
          <w:rFonts w:ascii="Times New Roman" w:hAnsi="Times New Roman" w:cs="Times New Roman"/>
          <w:sz w:val="24"/>
          <w:szCs w:val="24"/>
        </w:rPr>
        <w:t>abdominal aortic aneurysm; TAA</w:t>
      </w:r>
      <w:r w:rsidR="008A1077">
        <w:rPr>
          <w:rFonts w:ascii="Times New Roman" w:hAnsi="Times New Roman" w:cs="Times New Roman" w:hint="eastAsia"/>
          <w:sz w:val="24"/>
          <w:szCs w:val="24"/>
        </w:rPr>
        <w:t>,</w:t>
      </w:r>
      <w:r w:rsidR="008A1077" w:rsidRPr="004A5229">
        <w:rPr>
          <w:rFonts w:ascii="Times New Roman" w:hAnsi="Times New Roman" w:cs="Times New Roman"/>
          <w:sz w:val="24"/>
          <w:szCs w:val="24"/>
        </w:rPr>
        <w:t xml:space="preserve"> thoracic aortic aneurysm;</w:t>
      </w:r>
    </w:p>
    <w:p w14:paraId="3CA683E3" w14:textId="77777777" w:rsidR="007A3BD4" w:rsidRDefault="007A3BD4" w:rsidP="0018610F">
      <w:pPr>
        <w:spacing w:line="360" w:lineRule="auto"/>
        <w:rPr>
          <w:rFonts w:ascii="Times New Roman" w:hAnsi="Times New Roman" w:cs="Times New Roman"/>
          <w:sz w:val="24"/>
          <w:szCs w:val="24"/>
        </w:rPr>
      </w:pPr>
    </w:p>
    <w:p w14:paraId="0DE54D67" w14:textId="77777777" w:rsidR="007A3BD4" w:rsidRPr="00E90C10" w:rsidRDefault="007A3BD4" w:rsidP="007A3BD4">
      <w:pPr>
        <w:pStyle w:val="p"/>
        <w:shd w:val="clear" w:color="auto" w:fill="FFFFFF"/>
        <w:spacing w:before="400" w:beforeAutospacing="0" w:after="400" w:afterAutospacing="0" w:line="360" w:lineRule="auto"/>
        <w:jc w:val="both"/>
        <w:rPr>
          <w:rFonts w:ascii="Times New Roman" w:eastAsiaTheme="minorEastAsia" w:hAnsi="Times New Roman" w:cs="Times New Roman"/>
          <w:b/>
          <w:bCs/>
          <w:kern w:val="2"/>
        </w:rPr>
      </w:pPr>
      <w:r w:rsidRPr="00E90C10">
        <w:rPr>
          <w:rFonts w:ascii="Times New Roman" w:eastAsiaTheme="minorEastAsia" w:hAnsi="Times New Roman" w:cs="Times New Roman"/>
          <w:b/>
          <w:bCs/>
          <w:kern w:val="2"/>
        </w:rPr>
        <w:t>Covariates</w:t>
      </w:r>
    </w:p>
    <w:p w14:paraId="30D71D05" w14:textId="229A2CA3" w:rsidR="007A3BD4" w:rsidRPr="00E90C10" w:rsidRDefault="007A3BD4" w:rsidP="007A3BD4">
      <w:pPr>
        <w:spacing w:line="360" w:lineRule="auto"/>
        <w:rPr>
          <w:rFonts w:ascii="Times New Roman" w:eastAsia="宋体" w:hAnsi="Times New Roman" w:cs="Times New Roman"/>
          <w:color w:val="212121"/>
          <w:kern w:val="0"/>
          <w:sz w:val="24"/>
          <w:szCs w:val="24"/>
          <w:shd w:val="clear" w:color="auto" w:fill="FFFFFF"/>
          <w14:ligatures w14:val="none"/>
        </w:rPr>
      </w:pPr>
      <w:r w:rsidRPr="00E90C10">
        <w:rPr>
          <w:rFonts w:ascii="Times New Roman" w:hAnsi="Times New Roman" w:cs="Times New Roman"/>
          <w:color w:val="212121"/>
          <w:sz w:val="24"/>
          <w:szCs w:val="24"/>
          <w:shd w:val="clear" w:color="auto" w:fill="FFFFFF"/>
        </w:rPr>
        <w:t xml:space="preserve">Participants' BMI was calculated by dividing their weight by the square of their height in meters. Educational attainment was stratified into three categories (High level: Participants reported their education qualifications as college or university degree; Medium level: A levels, AS levels, or equivalent; O levels, GCSEs, or equivalent; CSEs or equivalent; NVQ, HND, HNC, or equivalent; other professional qualifications; Low level: None of the above). Environment was classified as urban or others. </w:t>
      </w:r>
      <w:r w:rsidRPr="00E90C10">
        <w:rPr>
          <w:rFonts w:ascii="Times New Roman" w:eastAsia="宋体" w:hAnsi="Times New Roman" w:cs="Times New Roman"/>
          <w:color w:val="212121"/>
          <w:kern w:val="0"/>
          <w:sz w:val="24"/>
          <w:szCs w:val="24"/>
          <w:shd w:val="clear" w:color="auto" w:fill="FFFFFF"/>
          <w14:ligatures w14:val="none"/>
        </w:rPr>
        <w:t>Never smoking was considered as a healthy level, which was defined in the questionnaire as smoking fewer than 100 cigarettes in life</w:t>
      </w:r>
      <w:r w:rsidRPr="00E90C10">
        <w:rPr>
          <w:rFonts w:ascii="Times New Roman" w:hAnsi="Times New Roman" w:cs="Times New Roman"/>
          <w:color w:val="212121"/>
          <w:sz w:val="24"/>
          <w:szCs w:val="24"/>
          <w:shd w:val="clear" w:color="auto" w:fill="FFFFFF"/>
        </w:rPr>
        <w:fldChar w:fldCharType="begin"/>
      </w:r>
      <w:r w:rsidR="00D016C9">
        <w:rPr>
          <w:rFonts w:ascii="Times New Roman" w:hAnsi="Times New Roman" w:cs="Times New Roman"/>
          <w:color w:val="212121"/>
          <w:sz w:val="24"/>
          <w:szCs w:val="24"/>
          <w:shd w:val="clear" w:color="auto" w:fill="FFFFFF"/>
        </w:rPr>
        <w:instrText xml:space="preserve"> ADDIN ZOTERO_ITEM CSL_CITATION {"citationID":"gEXmLEBA","properties":{"formattedCitation":"\\super 1\\nosupersub{}","plainCitation":"1","noteIndex":0},"citationItems":[{"id":597,"uris":["http://zotero.org/users/local/VwdtuYdF/items/AH5HSKQK"],"itemData":{"id":597,"type":"article-journal","abstract":"Objective\nTo examine whether overall lifestyles mediate associations of socioeconomic status (SES) with mortality and incident cardiovascular disease (CVD) and the extent of interaction or joint relations of lifestyles and SES with health outcomes.\n\nDesign\nPopulation based cohort study.\n\nSetting\nUS National Health and Nutrition Examination Survey (US NHANES, 1988-94 and 1999-2014) and UK Biobank.\n\nParticipants\n44 462 US adults aged 20 years or older and 399 537 UK adults aged 37-73 years.\n\nExposures\nSES was derived by latent class analysis using family income, occupation or employment status, education level, and health insurance (US NHANES only), and three levels (low, medium, and high) were def</w:instrText>
      </w:r>
      <w:r w:rsidR="00D016C9">
        <w:rPr>
          <w:rFonts w:ascii="Times New Roman" w:hAnsi="Times New Roman" w:cs="Times New Roman" w:hint="eastAsia"/>
          <w:color w:val="212121"/>
          <w:sz w:val="24"/>
          <w:szCs w:val="24"/>
          <w:shd w:val="clear" w:color="auto" w:fill="FFFFFF"/>
        </w:rPr>
        <w:instrText xml:space="preserve">ined according to item response probabilities. A healthy lifestyle score was constructed using information on never smoking, no heavy alcohol consumption (women </w:instrText>
      </w:r>
      <w:r w:rsidR="00D016C9">
        <w:rPr>
          <w:rFonts w:ascii="Times New Roman" w:hAnsi="Times New Roman" w:cs="Times New Roman" w:hint="eastAsia"/>
          <w:color w:val="212121"/>
          <w:sz w:val="24"/>
          <w:szCs w:val="24"/>
          <w:shd w:val="clear" w:color="auto" w:fill="FFFFFF"/>
        </w:rPr>
        <w:instrText>≤</w:instrText>
      </w:r>
      <w:r w:rsidR="00D016C9">
        <w:rPr>
          <w:rFonts w:ascii="Times New Roman" w:hAnsi="Times New Roman" w:cs="Times New Roman" w:hint="eastAsia"/>
          <w:color w:val="212121"/>
          <w:sz w:val="24"/>
          <w:szCs w:val="24"/>
          <w:shd w:val="clear" w:color="auto" w:fill="FFFFFF"/>
        </w:rPr>
        <w:instrText xml:space="preserve">1 drink/day; men </w:instrText>
      </w:r>
      <w:r w:rsidR="00D016C9">
        <w:rPr>
          <w:rFonts w:ascii="Times New Roman" w:hAnsi="Times New Roman" w:cs="Times New Roman" w:hint="eastAsia"/>
          <w:color w:val="212121"/>
          <w:sz w:val="24"/>
          <w:szCs w:val="24"/>
          <w:shd w:val="clear" w:color="auto" w:fill="FFFFFF"/>
        </w:rPr>
        <w:instrText>≤</w:instrText>
      </w:r>
      <w:r w:rsidR="00D016C9">
        <w:rPr>
          <w:rFonts w:ascii="Times New Roman" w:hAnsi="Times New Roman" w:cs="Times New Roman" w:hint="eastAsia"/>
          <w:color w:val="212121"/>
          <w:sz w:val="24"/>
          <w:szCs w:val="24"/>
          <w:shd w:val="clear" w:color="auto" w:fill="FFFFFF"/>
        </w:rPr>
        <w:instrText>2 drinks/day; one drink contains 14 g of ethanol in the US and 8 g in the U</w:instrText>
      </w:r>
      <w:r w:rsidR="00D016C9">
        <w:rPr>
          <w:rFonts w:ascii="Times New Roman" w:hAnsi="Times New Roman" w:cs="Times New Roman"/>
          <w:color w:val="212121"/>
          <w:sz w:val="24"/>
          <w:szCs w:val="24"/>
          <w:shd w:val="clear" w:color="auto" w:fill="FFFFFF"/>
        </w:rPr>
        <w:instrText xml:space="preserve">K), top third of physical activity, and higher dietary quality.\n\nMain outcome measures\nAll cause mortality was the primary outcome in both studies, and CVD mortality and morbidity in UK Biobank, which were obtained through linkage to registries.\n\nResults\nUS NHANES documented 8906 deaths over a mean follow-up of 11.2 years, and UK Biobank documented 22 309 deaths and 6903 incident CVD cases over a mean follow-up of 8.8-11.0 years. Among adults of low SES, age adjusted risk of death was 22.5 (95% confidence interval 21.7 to 23.3) and 7.4 (7.3 to 7.6) per 1000 person years in US NHANES and UK Biobank, respectively, and age adjusted risk of CVD was 2.5 (2.4 to 2.6) per 1000 person years in UK Biobank. The corresponding risks among adults of high SES were 11.4 (10.6 to 12.1), 3.3 (3.1 to 3.5), and 1.4 (1.3 to 1.5) per 1000 person years. Compared with adults of high SES, those of low SES had higher risks of all cause mortality (hazard ratio 2.13, 95% confidence interval 1.90 to 2.38 in US NHANES; 1.96, 1.87 to 2.06 in UK Biobank), CVD mortality (2.25, 2.00 to 2.53), and incident CVD (1.65, 1.52 to 1.79) in UK Biobank, and the proportions mediated by lifestyle were 12.3% (10.7% to 13.9%), 4.0% (3.5% to 4.4%), 3.0% (2.5% to 3.6%), and 3.7% (3.1% to 4.5%), respectively. No significant interaction was observed between lifestyle and SES in US NHANES, whereas associations between lifestyle and outcomes were stronger among those of low SES in UK Biobank. Compared with adults of high SES and three or four healthy lifestyle factors, those with low SES and no or one healthy lifestyle factor had higher risks of all cause mortality (3.53, 3.01 to 4.14 in US NHANES; 2.65, 2.39 to 2.94 in UK Biobank), CVD mortality (2.65, 2.09 to 3.38), and incident CVD (2.09, 1.78 to 2.46) in UK Biobank.\n\nConclusions\nUnhealthy lifestyles mediated a small proportion of the socioeconomic inequity in health in both US and UK adults; therefore, healthy lifestyle promotion alone might not substantially reduce the socioeconomic inequity in health, and other measures tackling social determinants of health are warranted. Nevertheless, healthy lifestyles were associated with lower mortality and CVD risk in different SES subgroups, supporting an important role of healthy lifestyles in reducing disease burden.","container-title":"The BMJ","DOI":"10.1136/bmj.n604","ISSN":"0959-8138","journalAbbreviation":"BMJ","note":"PMID: 33853828\nPMCID: PMC8044922","page":"n604","source":"PubMed Central","title":"Associations of healthy lifestyle and socioeconomic status with mortality and incident cardiovascular disease: two prospective cohort studies","title-short":"Associations of healthy lifestyle and socioeconomic status with mortality and incident cardiovascular disease","volume":"373","author":[{"family":"Zhang","given":"Yan-Bo"},{"family":"Chen","given":"Chen"},{"family":"Pan","given":"Xiong-Fei"},{"family":"Guo","given":"Jingyu"},{"family":"Li","given":"Yanping"},{"family":"Franco","given":"Oscar H"},{"family":"Liu","given":"Gang"},{"family":"Pan","given":"An"}],"issued":{"date-parts":[["2021",4,14]]}}}],"schema":"https://github.com/citation-style-language/schema/raw/master/csl-citation.json"} </w:instrText>
      </w:r>
      <w:r w:rsidRPr="00E90C10">
        <w:rPr>
          <w:rFonts w:ascii="Times New Roman" w:hAnsi="Times New Roman" w:cs="Times New Roman"/>
          <w:color w:val="212121"/>
          <w:sz w:val="24"/>
          <w:szCs w:val="24"/>
          <w:shd w:val="clear" w:color="auto" w:fill="FFFFFF"/>
        </w:rPr>
        <w:fldChar w:fldCharType="separate"/>
      </w:r>
      <w:r w:rsidR="00D016C9" w:rsidRPr="00D016C9">
        <w:rPr>
          <w:rFonts w:ascii="Times New Roman" w:hAnsi="Times New Roman" w:cs="Times New Roman"/>
          <w:kern w:val="0"/>
          <w:sz w:val="24"/>
          <w:szCs w:val="24"/>
          <w:vertAlign w:val="superscript"/>
        </w:rPr>
        <w:t>1</w:t>
      </w:r>
      <w:r w:rsidRPr="00E90C10">
        <w:rPr>
          <w:rFonts w:ascii="Times New Roman" w:hAnsi="Times New Roman" w:cs="Times New Roman"/>
          <w:color w:val="212121"/>
          <w:sz w:val="24"/>
          <w:szCs w:val="24"/>
          <w:shd w:val="clear" w:color="auto" w:fill="FFFFFF"/>
        </w:rPr>
        <w:fldChar w:fldCharType="end"/>
      </w:r>
      <w:r w:rsidRPr="00E90C10">
        <w:rPr>
          <w:rFonts w:ascii="Times New Roman" w:eastAsia="宋体" w:hAnsi="Times New Roman" w:cs="Times New Roman"/>
          <w:color w:val="212121"/>
          <w:kern w:val="0"/>
          <w:sz w:val="24"/>
          <w:szCs w:val="24"/>
          <w:shd w:val="clear" w:color="auto" w:fill="FFFFFF"/>
          <w14:ligatures w14:val="none"/>
        </w:rPr>
        <w:t>. Hypertension was defined as a systolic blood pressure greater than or equal to 140 mmHg or diastolic blood pressure greater than or equal to 90 mmHg; or a medical diagnosis of hypertension; or a history of taking antihypertensive medications</w:t>
      </w:r>
      <w:r w:rsidRPr="00E90C10">
        <w:rPr>
          <w:rFonts w:ascii="Times New Roman" w:hAnsi="Times New Roman" w:cs="Times New Roman"/>
          <w:color w:val="212121"/>
          <w:sz w:val="24"/>
          <w:szCs w:val="24"/>
          <w:shd w:val="clear" w:color="auto" w:fill="FFFFFF"/>
        </w:rPr>
        <w:fldChar w:fldCharType="begin"/>
      </w:r>
      <w:r w:rsidR="00D016C9">
        <w:rPr>
          <w:rFonts w:ascii="Times New Roman" w:hAnsi="Times New Roman" w:cs="Times New Roman"/>
          <w:color w:val="212121"/>
          <w:sz w:val="24"/>
          <w:szCs w:val="24"/>
          <w:shd w:val="clear" w:color="auto" w:fill="FFFFFF"/>
        </w:rPr>
        <w:instrText xml:space="preserve"> ADDIN ZOTERO_ITEM CSL_CITATION {"citationID":"PeTuUwuU","properties":{"formattedCitation":"\\super 1\\nosupersub{}","plainCitation":"1","noteIndex":0},"citationItems":[{"id":597,"uris":["http://zotero.org/users/local/VwdtuYdF/items/AH5HSKQK"],"itemData":{"id":597,"type":"article-journal","abstract":"Objective\nTo examine whether overall lifestyles mediate associations of socioeconomic status (SES) with mortality and incident cardiovascular disease (CVD) and the extent of interaction or joint relations of lifestyles and SES with health outcomes.\n\nDesign\nPopulation based cohort study.\n\nSetting\nUS National Health and Nutrition Examination Survey (US NHANES, 1988-94 and 1999-2014) and UK Biobank.\n\nParticipants\n44 462 US adults aged 20 years or older and 399 537 UK adults aged 37-73 years.\n\nExposures\nSES was derived by latent class analysis using family income, occupation or employment status, education level, and health insurance (US NHANES only), and three levels (low, medium, and high) were def</w:instrText>
      </w:r>
      <w:r w:rsidR="00D016C9">
        <w:rPr>
          <w:rFonts w:ascii="Times New Roman" w:hAnsi="Times New Roman" w:cs="Times New Roman" w:hint="eastAsia"/>
          <w:color w:val="212121"/>
          <w:sz w:val="24"/>
          <w:szCs w:val="24"/>
          <w:shd w:val="clear" w:color="auto" w:fill="FFFFFF"/>
        </w:rPr>
        <w:instrText xml:space="preserve">ined according to item response probabilities. A healthy lifestyle score was constructed using information on never smoking, no heavy alcohol consumption (women </w:instrText>
      </w:r>
      <w:r w:rsidR="00D016C9">
        <w:rPr>
          <w:rFonts w:ascii="Times New Roman" w:hAnsi="Times New Roman" w:cs="Times New Roman" w:hint="eastAsia"/>
          <w:color w:val="212121"/>
          <w:sz w:val="24"/>
          <w:szCs w:val="24"/>
          <w:shd w:val="clear" w:color="auto" w:fill="FFFFFF"/>
        </w:rPr>
        <w:instrText>≤</w:instrText>
      </w:r>
      <w:r w:rsidR="00D016C9">
        <w:rPr>
          <w:rFonts w:ascii="Times New Roman" w:hAnsi="Times New Roman" w:cs="Times New Roman" w:hint="eastAsia"/>
          <w:color w:val="212121"/>
          <w:sz w:val="24"/>
          <w:szCs w:val="24"/>
          <w:shd w:val="clear" w:color="auto" w:fill="FFFFFF"/>
        </w:rPr>
        <w:instrText xml:space="preserve">1 drink/day; men </w:instrText>
      </w:r>
      <w:r w:rsidR="00D016C9">
        <w:rPr>
          <w:rFonts w:ascii="Times New Roman" w:hAnsi="Times New Roman" w:cs="Times New Roman" w:hint="eastAsia"/>
          <w:color w:val="212121"/>
          <w:sz w:val="24"/>
          <w:szCs w:val="24"/>
          <w:shd w:val="clear" w:color="auto" w:fill="FFFFFF"/>
        </w:rPr>
        <w:instrText>≤</w:instrText>
      </w:r>
      <w:r w:rsidR="00D016C9">
        <w:rPr>
          <w:rFonts w:ascii="Times New Roman" w:hAnsi="Times New Roman" w:cs="Times New Roman" w:hint="eastAsia"/>
          <w:color w:val="212121"/>
          <w:sz w:val="24"/>
          <w:szCs w:val="24"/>
          <w:shd w:val="clear" w:color="auto" w:fill="FFFFFF"/>
        </w:rPr>
        <w:instrText>2 drinks/day; one drink contains 14 g of ethanol in the US and 8 g in the U</w:instrText>
      </w:r>
      <w:r w:rsidR="00D016C9">
        <w:rPr>
          <w:rFonts w:ascii="Times New Roman" w:hAnsi="Times New Roman" w:cs="Times New Roman"/>
          <w:color w:val="212121"/>
          <w:sz w:val="24"/>
          <w:szCs w:val="24"/>
          <w:shd w:val="clear" w:color="auto" w:fill="FFFFFF"/>
        </w:rPr>
        <w:instrText xml:space="preserve">K), top third of physical activity, and higher dietary quality.\n\nMain outcome measures\nAll cause mortality was the primary outcome in both studies, and CVD mortality and morbidity in UK Biobank, which were obtained through linkage to registries.\n\nResults\nUS NHANES documented 8906 deaths over a mean follow-up of 11.2 years, and UK Biobank documented 22 309 deaths and 6903 incident CVD cases over a mean follow-up of 8.8-11.0 years. Among adults of low SES, age adjusted risk of death was 22.5 (95% confidence interval 21.7 to 23.3) and 7.4 (7.3 to 7.6) per 1000 person years in US NHANES and UK Biobank, respectively, and age adjusted risk of CVD was 2.5 (2.4 to 2.6) per 1000 person years in UK Biobank. The corresponding risks among adults of high SES were 11.4 (10.6 to 12.1), 3.3 (3.1 to 3.5), and 1.4 (1.3 to 1.5) per 1000 person years. Compared with adults of high SES, those of low SES had higher risks of all cause mortality (hazard ratio 2.13, 95% confidence interval 1.90 to 2.38 in US NHANES; 1.96, 1.87 to 2.06 in UK Biobank), CVD mortality (2.25, 2.00 to 2.53), and incident CVD (1.65, 1.52 to 1.79) in UK Biobank, and the proportions mediated by lifestyle were 12.3% (10.7% to 13.9%), 4.0% (3.5% to 4.4%), 3.0% (2.5% to 3.6%), and 3.7% (3.1% to 4.5%), respectively. No significant interaction was observed between lifestyle and SES in US NHANES, whereas associations between lifestyle and outcomes were stronger among those of low SES in UK Biobank. Compared with adults of high SES and three or four healthy lifestyle factors, those with low SES and no or one healthy lifestyle factor had higher risks of all cause mortality (3.53, 3.01 to 4.14 in US NHANES; 2.65, 2.39 to 2.94 in UK Biobank), CVD mortality (2.65, 2.09 to 3.38), and incident CVD (2.09, 1.78 to 2.46) in UK Biobank.\n\nConclusions\nUnhealthy lifestyles mediated a small proportion of the socioeconomic inequity in health in both US and UK adults; therefore, healthy lifestyle promotion alone might not substantially reduce the socioeconomic inequity in health, and other measures tackling social determinants of health are warranted. Nevertheless, healthy lifestyles were associated with lower mortality and CVD risk in different SES subgroups, supporting an important role of healthy lifestyles in reducing disease burden.","container-title":"The BMJ","DOI":"10.1136/bmj.n604","ISSN":"0959-8138","journalAbbreviation":"BMJ","note":"PMID: 33853828\nPMCID: PMC8044922","page":"n604","source":"PubMed Central","title":"Associations of healthy lifestyle and socioeconomic status with mortality and incident cardiovascular disease: two prospective cohort studies","title-short":"Associations of healthy lifestyle and socioeconomic status with mortality and incident cardiovascular disease","volume":"373","author":[{"family":"Zhang","given":"Yan-Bo"},{"family":"Chen","given":"Chen"},{"family":"Pan","given":"Xiong-Fei"},{"family":"Guo","given":"Jingyu"},{"family":"Li","given":"Yanping"},{"family":"Franco","given":"Oscar H"},{"family":"Liu","given":"Gang"},{"family":"Pan","given":"An"}],"issued":{"date-parts":[["2021",4,14]]}}}],"schema":"https://github.com/citation-style-language/schema/raw/master/csl-citation.json"} </w:instrText>
      </w:r>
      <w:r w:rsidRPr="00E90C10">
        <w:rPr>
          <w:rFonts w:ascii="Times New Roman" w:hAnsi="Times New Roman" w:cs="Times New Roman"/>
          <w:color w:val="212121"/>
          <w:sz w:val="24"/>
          <w:szCs w:val="24"/>
          <w:shd w:val="clear" w:color="auto" w:fill="FFFFFF"/>
        </w:rPr>
        <w:fldChar w:fldCharType="separate"/>
      </w:r>
      <w:r w:rsidR="00D016C9" w:rsidRPr="00D016C9">
        <w:rPr>
          <w:rFonts w:ascii="Times New Roman" w:hAnsi="Times New Roman" w:cs="Times New Roman"/>
          <w:kern w:val="0"/>
          <w:sz w:val="24"/>
          <w:szCs w:val="24"/>
          <w:vertAlign w:val="superscript"/>
        </w:rPr>
        <w:t>1</w:t>
      </w:r>
      <w:r w:rsidRPr="00E90C10">
        <w:rPr>
          <w:rFonts w:ascii="Times New Roman" w:hAnsi="Times New Roman" w:cs="Times New Roman"/>
          <w:color w:val="212121"/>
          <w:sz w:val="24"/>
          <w:szCs w:val="24"/>
          <w:shd w:val="clear" w:color="auto" w:fill="FFFFFF"/>
        </w:rPr>
        <w:fldChar w:fldCharType="end"/>
      </w:r>
      <w:r w:rsidRPr="00E90C10">
        <w:rPr>
          <w:rFonts w:ascii="Times New Roman" w:hAnsi="Times New Roman" w:cs="Times New Roman"/>
          <w:color w:val="212121"/>
          <w:sz w:val="24"/>
          <w:szCs w:val="24"/>
          <w:shd w:val="clear" w:color="auto" w:fill="FFFFFF"/>
        </w:rPr>
        <w:t>. Blood samples were collected from consenting participants at recruitment, separated by components and stored at UK Biobank (−80°C and LN</w:t>
      </w:r>
      <w:r w:rsidRPr="00E90C10">
        <w:rPr>
          <w:rFonts w:ascii="Times New Roman" w:hAnsi="Times New Roman" w:cs="Times New Roman"/>
          <w:color w:val="212121"/>
          <w:sz w:val="24"/>
          <w:szCs w:val="24"/>
          <w:shd w:val="clear" w:color="auto" w:fill="FFFFFF"/>
          <w:vertAlign w:val="subscript"/>
        </w:rPr>
        <w:t>2</w:t>
      </w:r>
      <w:r w:rsidRPr="00E90C10">
        <w:rPr>
          <w:rFonts w:ascii="Times New Roman" w:hAnsi="Times New Roman" w:cs="Times New Roman"/>
          <w:color w:val="212121"/>
          <w:sz w:val="24"/>
          <w:szCs w:val="24"/>
          <w:shd w:val="clear" w:color="auto" w:fill="FFFFFF"/>
        </w:rPr>
        <w:t>) until analysis. Some potential biological biomarkers mediating the association between BMR and AAD, including Glu, AST, ALT, HBA1C and LDL-C were selected. Other health status was diagnosed according to ICD-10 codes. The UK Biobank website has further information on these variables (</w:t>
      </w:r>
      <w:hyperlink r:id="rId6" w:tgtFrame="_blank" w:history="1">
        <w:r w:rsidRPr="00E90C10">
          <w:rPr>
            <w:rFonts w:ascii="Times New Roman" w:hAnsi="Times New Roman" w:cs="Times New Roman"/>
            <w:color w:val="212121"/>
            <w:sz w:val="24"/>
            <w:szCs w:val="24"/>
          </w:rPr>
          <w:t>www.ukbiobank.ac.uk</w:t>
        </w:r>
      </w:hyperlink>
      <w:r w:rsidRPr="00E90C10">
        <w:rPr>
          <w:rFonts w:ascii="Times New Roman" w:hAnsi="Times New Roman" w:cs="Times New Roman"/>
          <w:color w:val="212121"/>
          <w:sz w:val="24"/>
          <w:szCs w:val="24"/>
          <w:shd w:val="clear" w:color="auto" w:fill="FFFFFF"/>
        </w:rPr>
        <w:t>).</w:t>
      </w:r>
    </w:p>
    <w:p w14:paraId="7C52A28D" w14:textId="77777777" w:rsidR="00D016C9" w:rsidRPr="00D016C9" w:rsidRDefault="00D016C9" w:rsidP="00D016C9">
      <w:pPr>
        <w:pStyle w:val="a8"/>
        <w:rPr>
          <w:rFonts w:ascii="Times New Roman" w:hAnsi="Times New Roman" w:cs="Times New Roman"/>
          <w:sz w:val="24"/>
        </w:rPr>
      </w:pPr>
      <w:r>
        <w:fldChar w:fldCharType="begin"/>
      </w:r>
      <w:r>
        <w:instrText xml:space="preserve"> ADDIN ZOTERO_BIBL {"uncited":[],"omitted":[],"custom":[]} CSL_BIBLIOGRAPHY </w:instrText>
      </w:r>
      <w:r>
        <w:fldChar w:fldCharType="separate"/>
      </w:r>
      <w:r w:rsidRPr="00D016C9">
        <w:rPr>
          <w:rFonts w:ascii="Times New Roman" w:hAnsi="Times New Roman" w:cs="Times New Roman"/>
          <w:sz w:val="24"/>
        </w:rPr>
        <w:t>1.</w:t>
      </w:r>
      <w:r w:rsidRPr="00D016C9">
        <w:rPr>
          <w:rFonts w:ascii="Times New Roman" w:hAnsi="Times New Roman" w:cs="Times New Roman"/>
          <w:sz w:val="24"/>
        </w:rPr>
        <w:tab/>
        <w:t xml:space="preserve">Zhang, Y.-B. </w:t>
      </w:r>
      <w:r w:rsidRPr="00D016C9">
        <w:rPr>
          <w:rFonts w:ascii="Times New Roman" w:hAnsi="Times New Roman" w:cs="Times New Roman"/>
          <w:i/>
          <w:iCs/>
          <w:sz w:val="24"/>
        </w:rPr>
        <w:t>et al.</w:t>
      </w:r>
      <w:r w:rsidRPr="00D016C9">
        <w:rPr>
          <w:rFonts w:ascii="Times New Roman" w:hAnsi="Times New Roman" w:cs="Times New Roman"/>
          <w:sz w:val="24"/>
        </w:rPr>
        <w:t xml:space="preserve"> Associations of healthy lifestyle and socioeconomic status with mortality and incident cardiovascular disease: two prospective cohort studies. </w:t>
      </w:r>
      <w:r w:rsidRPr="00D016C9">
        <w:rPr>
          <w:rFonts w:ascii="Times New Roman" w:hAnsi="Times New Roman" w:cs="Times New Roman"/>
          <w:i/>
          <w:iCs/>
          <w:sz w:val="24"/>
        </w:rPr>
        <w:t>BMJ</w:t>
      </w:r>
      <w:r w:rsidRPr="00D016C9">
        <w:rPr>
          <w:rFonts w:ascii="Times New Roman" w:hAnsi="Times New Roman" w:cs="Times New Roman"/>
          <w:sz w:val="24"/>
        </w:rPr>
        <w:t xml:space="preserve"> </w:t>
      </w:r>
      <w:r w:rsidRPr="00D016C9">
        <w:rPr>
          <w:rFonts w:ascii="Times New Roman" w:hAnsi="Times New Roman" w:cs="Times New Roman"/>
          <w:b/>
          <w:bCs/>
          <w:sz w:val="24"/>
        </w:rPr>
        <w:t>373</w:t>
      </w:r>
      <w:r w:rsidRPr="00D016C9">
        <w:rPr>
          <w:rFonts w:ascii="Times New Roman" w:hAnsi="Times New Roman" w:cs="Times New Roman"/>
          <w:sz w:val="24"/>
        </w:rPr>
        <w:t>, n604 (2021).</w:t>
      </w:r>
    </w:p>
    <w:p w14:paraId="3AE8BE9D" w14:textId="6BB83263" w:rsidR="007A3BD4" w:rsidRPr="007A3BD4" w:rsidRDefault="00D016C9" w:rsidP="0018610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fldChar w:fldCharType="end"/>
      </w:r>
    </w:p>
    <w:sectPr w:rsidR="007A3BD4" w:rsidRPr="007A3BD4" w:rsidSect="0066565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A3FB5" w14:textId="77777777" w:rsidR="00ED3AE8" w:rsidRDefault="00ED3AE8" w:rsidP="00B12E09">
      <w:pPr>
        <w:rPr>
          <w:rFonts w:hint="eastAsia"/>
        </w:rPr>
      </w:pPr>
      <w:r>
        <w:separator/>
      </w:r>
    </w:p>
  </w:endnote>
  <w:endnote w:type="continuationSeparator" w:id="0">
    <w:p w14:paraId="05D6ED81" w14:textId="77777777" w:rsidR="00ED3AE8" w:rsidRDefault="00ED3AE8" w:rsidP="00B12E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96D6E" w14:textId="77777777" w:rsidR="00ED3AE8" w:rsidRDefault="00ED3AE8" w:rsidP="00B12E09">
      <w:pPr>
        <w:rPr>
          <w:rFonts w:hint="eastAsia"/>
        </w:rPr>
      </w:pPr>
      <w:r>
        <w:separator/>
      </w:r>
    </w:p>
  </w:footnote>
  <w:footnote w:type="continuationSeparator" w:id="0">
    <w:p w14:paraId="4C3B063D" w14:textId="77777777" w:rsidR="00ED3AE8" w:rsidRDefault="00ED3AE8" w:rsidP="00B12E0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03"/>
    <w:rsid w:val="0018610F"/>
    <w:rsid w:val="001E42CD"/>
    <w:rsid w:val="003C5B03"/>
    <w:rsid w:val="00404BA2"/>
    <w:rsid w:val="00555B3D"/>
    <w:rsid w:val="00584420"/>
    <w:rsid w:val="0061567F"/>
    <w:rsid w:val="0065758A"/>
    <w:rsid w:val="0066565C"/>
    <w:rsid w:val="00695A8A"/>
    <w:rsid w:val="007A3BD4"/>
    <w:rsid w:val="007B2EDF"/>
    <w:rsid w:val="007D5A88"/>
    <w:rsid w:val="008A1077"/>
    <w:rsid w:val="008B7289"/>
    <w:rsid w:val="008D10DA"/>
    <w:rsid w:val="0091294F"/>
    <w:rsid w:val="009B2B16"/>
    <w:rsid w:val="00B12E09"/>
    <w:rsid w:val="00BE5C45"/>
    <w:rsid w:val="00C53273"/>
    <w:rsid w:val="00CF6C65"/>
    <w:rsid w:val="00D016C9"/>
    <w:rsid w:val="00D31532"/>
    <w:rsid w:val="00D31E66"/>
    <w:rsid w:val="00D7325A"/>
    <w:rsid w:val="00E36B94"/>
    <w:rsid w:val="00E86BFD"/>
    <w:rsid w:val="00ED3AE8"/>
    <w:rsid w:val="00EE2F58"/>
    <w:rsid w:val="00F321A7"/>
    <w:rsid w:val="00FC6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0767B"/>
  <w15:chartTrackingRefBased/>
  <w15:docId w15:val="{717C4437-9927-4398-8BD4-7F4F2036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E09"/>
    <w:pPr>
      <w:tabs>
        <w:tab w:val="center" w:pos="4153"/>
        <w:tab w:val="right" w:pos="8306"/>
      </w:tabs>
      <w:snapToGrid w:val="0"/>
      <w:jc w:val="center"/>
    </w:pPr>
    <w:rPr>
      <w:sz w:val="18"/>
      <w:szCs w:val="18"/>
    </w:rPr>
  </w:style>
  <w:style w:type="character" w:customStyle="1" w:styleId="a4">
    <w:name w:val="页眉 字符"/>
    <w:basedOn w:val="a0"/>
    <w:link w:val="a3"/>
    <w:uiPriority w:val="99"/>
    <w:rsid w:val="00B12E09"/>
    <w:rPr>
      <w:sz w:val="18"/>
      <w:szCs w:val="18"/>
    </w:rPr>
  </w:style>
  <w:style w:type="paragraph" w:styleId="a5">
    <w:name w:val="footer"/>
    <w:basedOn w:val="a"/>
    <w:link w:val="a6"/>
    <w:uiPriority w:val="99"/>
    <w:unhideWhenUsed/>
    <w:rsid w:val="00B12E09"/>
    <w:pPr>
      <w:tabs>
        <w:tab w:val="center" w:pos="4153"/>
        <w:tab w:val="right" w:pos="8306"/>
      </w:tabs>
      <w:snapToGrid w:val="0"/>
      <w:jc w:val="left"/>
    </w:pPr>
    <w:rPr>
      <w:sz w:val="18"/>
      <w:szCs w:val="18"/>
    </w:rPr>
  </w:style>
  <w:style w:type="character" w:customStyle="1" w:styleId="a6">
    <w:name w:val="页脚 字符"/>
    <w:basedOn w:val="a0"/>
    <w:link w:val="a5"/>
    <w:uiPriority w:val="99"/>
    <w:rsid w:val="00B12E09"/>
    <w:rPr>
      <w:sz w:val="18"/>
      <w:szCs w:val="18"/>
    </w:rPr>
  </w:style>
  <w:style w:type="table" w:styleId="a7">
    <w:name w:val="Table Grid"/>
    <w:basedOn w:val="a1"/>
    <w:uiPriority w:val="39"/>
    <w:rsid w:val="00B12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rsid w:val="007A3BD4"/>
    <w:pPr>
      <w:widowControl/>
      <w:spacing w:before="100" w:beforeAutospacing="1" w:after="100" w:afterAutospacing="1"/>
      <w:jc w:val="left"/>
    </w:pPr>
    <w:rPr>
      <w:rFonts w:ascii="宋体" w:eastAsia="宋体" w:hAnsi="宋体" w:cs="宋体"/>
      <w:kern w:val="0"/>
      <w:sz w:val="24"/>
      <w:szCs w:val="24"/>
      <w14:ligatures w14:val="none"/>
    </w:rPr>
  </w:style>
  <w:style w:type="paragraph" w:styleId="a8">
    <w:name w:val="Bibliography"/>
    <w:basedOn w:val="a"/>
    <w:next w:val="a"/>
    <w:uiPriority w:val="37"/>
    <w:unhideWhenUsed/>
    <w:rsid w:val="00D01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kbiobank.ac.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1688</Words>
  <Characters>9628</Characters>
  <Application>Microsoft Office Word</Application>
  <DocSecurity>0</DocSecurity>
  <Lines>80</Lines>
  <Paragraphs>22</Paragraphs>
  <ScaleCrop>false</ScaleCrop>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8615680622263</dc:creator>
  <cp:keywords/>
  <dc:description/>
  <cp:lastModifiedBy>8615680622263</cp:lastModifiedBy>
  <cp:revision>4</cp:revision>
  <dcterms:created xsi:type="dcterms:W3CDTF">2024-10-30T04:33:00Z</dcterms:created>
  <dcterms:modified xsi:type="dcterms:W3CDTF">2024-10-31T09:26:00Z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id="xVcGIPNY"/&gt;&lt;style id="http://www.zotero.org/styles/nature" hasBibliography="1" bibliographyStyleHasBeenSet="1"/&gt;&lt;prefs&gt;&lt;pref name="fieldType" value="Field"/&gt;&lt;/prefs&gt;&lt;/data&gt;</vt:lpwstr>
  </property>
</Properties>
</file>