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FA3D7" w14:textId="77777777" w:rsidR="00A0323A" w:rsidRPr="003B40E6" w:rsidRDefault="00A0323A" w:rsidP="006B06B2">
      <w:pPr>
        <w:jc w:val="center"/>
        <w:rPr>
          <w:sz w:val="36"/>
          <w:szCs w:val="36"/>
        </w:rPr>
      </w:pPr>
      <w:r>
        <w:rPr>
          <w:sz w:val="36"/>
          <w:szCs w:val="36"/>
        </w:rPr>
        <w:t>Supplementary Materials for</w:t>
      </w:r>
    </w:p>
    <w:p w14:paraId="6ABD58D4" w14:textId="77777777" w:rsidR="00A0323A" w:rsidRDefault="00A0323A" w:rsidP="006B06B2">
      <w:pPr>
        <w:jc w:val="both"/>
      </w:pPr>
    </w:p>
    <w:p w14:paraId="7D05A23E" w14:textId="77777777" w:rsidR="00A0323A" w:rsidRDefault="00A0323A" w:rsidP="00C3341F">
      <w:pPr>
        <w:jc w:val="center"/>
        <w:rPr>
          <w:sz w:val="28"/>
          <w:szCs w:val="28"/>
        </w:rPr>
      </w:pPr>
      <w:r w:rsidRPr="00E84FCA">
        <w:rPr>
          <w:b/>
          <w:bCs/>
          <w:sz w:val="28"/>
          <w:szCs w:val="28"/>
        </w:rPr>
        <w:t>High-capacity data transmission for optical I/O driven by efficient microcomb and microring modulator</w:t>
      </w:r>
    </w:p>
    <w:p w14:paraId="5C2E0D92" w14:textId="77777777" w:rsidR="00A0323A" w:rsidRPr="007108F5" w:rsidRDefault="00A0323A" w:rsidP="006B06B2">
      <w:pPr>
        <w:jc w:val="both"/>
        <w:rPr>
          <w:sz w:val="28"/>
          <w:szCs w:val="28"/>
        </w:rPr>
      </w:pPr>
    </w:p>
    <w:p w14:paraId="6DCB8D5A" w14:textId="77777777" w:rsidR="00A0323A" w:rsidRDefault="00A0323A" w:rsidP="006B06B2">
      <w:pPr>
        <w:jc w:val="center"/>
        <w:rPr>
          <w:szCs w:val="24"/>
        </w:rPr>
      </w:pPr>
      <w:r>
        <w:rPr>
          <w:rFonts w:hint="eastAsia"/>
          <w:szCs w:val="24"/>
          <w:lang w:eastAsia="zh-CN"/>
        </w:rPr>
        <w:t>Hon</w:t>
      </w:r>
      <w:r>
        <w:rPr>
          <w:szCs w:val="24"/>
          <w:lang w:eastAsia="zh-CN"/>
        </w:rPr>
        <w:t>gyi Zhang</w:t>
      </w:r>
      <w:r>
        <w:rPr>
          <w:szCs w:val="24"/>
        </w:rPr>
        <w:t xml:space="preserve"> </w:t>
      </w:r>
      <w:r w:rsidRPr="007C45B3">
        <w:rPr>
          <w:i/>
          <w:iCs/>
          <w:szCs w:val="24"/>
        </w:rPr>
        <w:t>et al.</w:t>
      </w:r>
    </w:p>
    <w:p w14:paraId="34FAA471" w14:textId="77777777" w:rsidR="00A0323A" w:rsidRDefault="00A0323A" w:rsidP="006B06B2">
      <w:pPr>
        <w:jc w:val="center"/>
        <w:rPr>
          <w:sz w:val="20"/>
        </w:rPr>
      </w:pPr>
      <w:r w:rsidRPr="00ED2CBE">
        <w:rPr>
          <w:sz w:val="20"/>
        </w:rPr>
        <w:t>*</w:t>
      </w:r>
      <w:r>
        <w:rPr>
          <w:sz w:val="20"/>
        </w:rPr>
        <w:t>Liangjun lu,</w:t>
      </w:r>
      <w:r w:rsidRPr="00ED2CBE">
        <w:rPr>
          <w:sz w:val="20"/>
        </w:rPr>
        <w:t xml:space="preserve"> </w:t>
      </w:r>
      <w:hyperlink r:id="rId6" w:history="1">
        <w:r w:rsidRPr="003C29EE">
          <w:rPr>
            <w:rStyle w:val="a7"/>
            <w:sz w:val="20"/>
          </w:rPr>
          <w:t>luliangjun@sjtu.edu.cn</w:t>
        </w:r>
      </w:hyperlink>
    </w:p>
    <w:p w14:paraId="0E834883" w14:textId="2798B1AA" w:rsidR="00A0323A" w:rsidRDefault="00A0323A" w:rsidP="006B06B2">
      <w:pPr>
        <w:jc w:val="center"/>
        <w:rPr>
          <w:sz w:val="20"/>
        </w:rPr>
      </w:pPr>
      <w:r w:rsidRPr="00A03595">
        <w:rPr>
          <w:sz w:val="20"/>
        </w:rPr>
        <w:t xml:space="preserve">*Yu Li, </w:t>
      </w:r>
      <w:hyperlink r:id="rId7" w:history="1">
        <w:r w:rsidRPr="003C29EE">
          <w:rPr>
            <w:rStyle w:val="a7"/>
            <w:sz w:val="20"/>
          </w:rPr>
          <w:t>yuli_seiee@sjtu.edu.cn</w:t>
        </w:r>
      </w:hyperlink>
    </w:p>
    <w:p w14:paraId="5D818BAD" w14:textId="77777777" w:rsidR="00A0323A" w:rsidRDefault="00A0323A" w:rsidP="006B06B2">
      <w:pPr>
        <w:jc w:val="both"/>
        <w:rPr>
          <w:b/>
        </w:rPr>
      </w:pPr>
    </w:p>
    <w:p w14:paraId="4DD84DA1" w14:textId="77777777" w:rsidR="00A0323A" w:rsidRDefault="00A0323A" w:rsidP="006B06B2">
      <w:pPr>
        <w:spacing w:after="240"/>
        <w:jc w:val="both"/>
        <w:rPr>
          <w:b/>
          <w:bCs/>
        </w:rPr>
      </w:pPr>
      <w:r w:rsidRPr="00D721BB">
        <w:rPr>
          <w:b/>
          <w:bCs/>
        </w:rPr>
        <w:t>Comb source design for parallel data transmission</w:t>
      </w:r>
    </w:p>
    <w:p w14:paraId="7E26F4E6" w14:textId="77777777" w:rsidR="00A0323A" w:rsidRDefault="00A0323A" w:rsidP="006B06B2">
      <w:pPr>
        <w:spacing w:after="100" w:afterAutospacing="1"/>
        <w:ind w:firstLineChars="177" w:firstLine="425"/>
        <w:jc w:val="both"/>
        <w:rPr>
          <w:rFonts w:eastAsia="Times New Roman"/>
          <w:szCs w:val="24"/>
        </w:rPr>
      </w:pPr>
      <w:r w:rsidRPr="00060902">
        <w:rPr>
          <w:rFonts w:eastAsia="Times New Roman"/>
          <w:szCs w:val="24"/>
        </w:rPr>
        <w:t>Low propagation loss is the prerequisite for generating the nonlinear microcomb, which is mainly determined by the foundry's manufacturing processes.</w:t>
      </w:r>
      <w:r>
        <w:rPr>
          <w:rFonts w:eastAsia="Times New Roman"/>
          <w:szCs w:val="24"/>
        </w:rPr>
        <w:t xml:space="preserve"> </w:t>
      </w:r>
      <w:r w:rsidRPr="00C87767">
        <w:rPr>
          <w:rFonts w:eastAsia="Times New Roman"/>
          <w:szCs w:val="24"/>
        </w:rPr>
        <w:t>The loss of the 400-nm-thick Si</w:t>
      </w:r>
      <w:r w:rsidRPr="00EE4512">
        <w:rPr>
          <w:rFonts w:eastAsia="Times New Roman"/>
          <w:szCs w:val="24"/>
          <w:vertAlign w:val="subscript"/>
        </w:rPr>
        <w:t>3</w:t>
      </w:r>
      <w:r w:rsidRPr="00C87767">
        <w:rPr>
          <w:rFonts w:eastAsia="Times New Roman"/>
          <w:szCs w:val="24"/>
        </w:rPr>
        <w:t>N</w:t>
      </w:r>
      <w:r w:rsidRPr="00EE4512">
        <w:rPr>
          <w:rFonts w:eastAsia="Times New Roman"/>
          <w:szCs w:val="24"/>
          <w:vertAlign w:val="subscript"/>
        </w:rPr>
        <w:t>4</w:t>
      </w:r>
      <w:r w:rsidRPr="00C87767">
        <w:rPr>
          <w:rFonts w:eastAsia="Times New Roman"/>
          <w:szCs w:val="24"/>
        </w:rPr>
        <w:t xml:space="preserve"> waveguide is ~ 0.04 dB/cm, as utilized in our design. We theoretically investigated the influence of the coupling ratio between the bus waveguide and the microring and the GVD of the microring waveguide on the conversion efficiency and the -5-dBm optical bandwidth of the generated dark soliton. The conversion efficiency is defined as the ratio between the power of all the comb lines excluding the pump line and the input pump power in the bus waveguide. The -5-dBm optical bandwidth is defined as the wavelength range where the on-chip power of all the lines exceeds -5 dBm (-10 dBm off-chip optical power, considering a total 5 dB coupling and link loss).</w:t>
      </w:r>
      <w:r>
        <w:rPr>
          <w:rFonts w:eastAsia="Times New Roman"/>
          <w:szCs w:val="24"/>
        </w:rPr>
        <w:t xml:space="preserve"> </w:t>
      </w:r>
    </w:p>
    <w:p w14:paraId="378E0C79" w14:textId="77777777" w:rsidR="00A0323A" w:rsidRDefault="00A0323A" w:rsidP="006B06B2">
      <w:pPr>
        <w:spacing w:after="100" w:afterAutospacing="1"/>
        <w:ind w:firstLineChars="177" w:firstLine="425"/>
        <w:jc w:val="both"/>
        <w:rPr>
          <w:rFonts w:eastAsia="Times New Roman"/>
          <w:szCs w:val="24"/>
        </w:rPr>
      </w:pPr>
      <w:r w:rsidRPr="005F1A37">
        <w:rPr>
          <w:rFonts w:eastAsia="Times New Roman"/>
          <w:szCs w:val="24"/>
        </w:rPr>
        <w:t xml:space="preserve"> The key parameters in the simulation are as follows: the decay rate is 0.0013, the normal GVD (</w:t>
      </w:r>
      <w:r w:rsidRPr="005F1A37">
        <w:rPr>
          <w:rFonts w:ascii="Cambria Math" w:eastAsia="Times New Roman" w:hAnsi="Cambria Math" w:cs="Cambria Math"/>
          <w:szCs w:val="24"/>
        </w:rPr>
        <w:t>𝛽</w:t>
      </w:r>
      <w:r w:rsidRPr="005F1A37">
        <w:rPr>
          <w:rFonts w:eastAsia="Times New Roman"/>
          <w:szCs w:val="24"/>
          <w:vertAlign w:val="subscript"/>
        </w:rPr>
        <w:t>2</w:t>
      </w:r>
      <w:r w:rsidRPr="005F1A37">
        <w:rPr>
          <w:rFonts w:eastAsia="Times New Roman"/>
          <w:szCs w:val="24"/>
        </w:rPr>
        <w:t>) is 608.6 ps</w:t>
      </w:r>
      <w:r w:rsidRPr="001264F8">
        <w:rPr>
          <w:rFonts w:eastAsia="Times New Roman"/>
          <w:szCs w:val="24"/>
          <w:vertAlign w:val="superscript"/>
        </w:rPr>
        <w:t>2</w:t>
      </w:r>
      <w:r w:rsidRPr="005F1A37">
        <w:rPr>
          <w:rFonts w:eastAsia="Times New Roman"/>
          <w:szCs w:val="24"/>
        </w:rPr>
        <w:t xml:space="preserve">/km and the radius of the microring is 246 </w:t>
      </w:r>
      <w:r w:rsidRPr="005F1A37">
        <w:rPr>
          <w:rFonts w:eastAsia="Times New Roman"/>
          <w:szCs w:val="24"/>
        </w:rPr>
        <w:sym w:font="Symbol" w:char="F06D"/>
      </w:r>
      <w:r w:rsidRPr="005F1A37">
        <w:rPr>
          <w:rFonts w:eastAsia="Times New Roman"/>
          <w:szCs w:val="24"/>
        </w:rPr>
        <w:t xml:space="preserve">m. These parameters were extracted from the measured microring, as we will elaborate on later. As demonstrated previously </w:t>
      </w:r>
      <w:r w:rsidRPr="005F1A37">
        <w:rPr>
          <w:rFonts w:eastAsia="Times New Roman"/>
          <w:szCs w:val="24"/>
        </w:rPr>
        <w:fldChar w:fldCharType="begin">
          <w:fldData xml:space="preserve">PEVuZE5vdGU+PENpdGU+PEF1dGhvcj5YdWU8L0F1dGhvcj48WWVhcj4yMDE3PC9ZZWFyPjxSZWNO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</w:fldData>
        </w:fldChar>
      </w:r>
      <w:r>
        <w:rPr>
          <w:rFonts w:eastAsia="Times New Roman"/>
          <w:szCs w:val="24"/>
        </w:rPr>
        <w:instrText xml:space="preserve"> ADDIN EN.CITE </w:instrText>
      </w:r>
      <w:r>
        <w:rPr>
          <w:rFonts w:eastAsia="Times New Roman"/>
          <w:szCs w:val="24"/>
        </w:rPr>
        <w:fldChar w:fldCharType="begin">
          <w:fldData xml:space="preserve">PEVuZE5vdGU+PENpdGU+PEF1dGhvcj5YdWU8L0F1dGhvcj48WWVhcj4yMDE3PC9ZZWFyPjxSZWNO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</w:fldData>
        </w:fldChar>
      </w:r>
      <w:r>
        <w:rPr>
          <w:rFonts w:eastAsia="Times New Roman"/>
          <w:szCs w:val="24"/>
        </w:rPr>
        <w:instrText xml:space="preserve"> ADDIN EN.CITE.DATA </w:instrText>
      </w:r>
      <w:r>
        <w:rPr>
          <w:rFonts w:eastAsia="Times New Roman"/>
          <w:szCs w:val="24"/>
        </w:rPr>
      </w:r>
      <w:r>
        <w:rPr>
          <w:rFonts w:eastAsia="Times New Roman"/>
          <w:szCs w:val="24"/>
        </w:rPr>
        <w:fldChar w:fldCharType="end"/>
      </w:r>
      <w:r w:rsidRPr="005F1A37">
        <w:rPr>
          <w:rFonts w:eastAsia="Times New Roman"/>
          <w:szCs w:val="24"/>
        </w:rPr>
      </w:r>
      <w:r w:rsidRPr="005F1A37">
        <w:rPr>
          <w:rFonts w:eastAsia="Times New Roman"/>
          <w:szCs w:val="24"/>
        </w:rPr>
        <w:fldChar w:fldCharType="separate"/>
      </w:r>
      <w:r>
        <w:rPr>
          <w:rFonts w:eastAsia="Times New Roman"/>
          <w:noProof/>
          <w:szCs w:val="24"/>
        </w:rPr>
        <w:t>[1, 2]</w:t>
      </w:r>
      <w:r w:rsidRPr="005F1A37">
        <w:rPr>
          <w:rFonts w:eastAsia="Times New Roman"/>
          <w:szCs w:val="24"/>
        </w:rPr>
        <w:fldChar w:fldCharType="end"/>
      </w:r>
      <w:r w:rsidRPr="005F1A37">
        <w:rPr>
          <w:rFonts w:eastAsia="Times New Roman"/>
          <w:szCs w:val="24"/>
        </w:rPr>
        <w:t xml:space="preserve">, over-coupling is essential for the generation of high-conversion-efficiency dark soliton microcomb. </w:t>
      </w:r>
      <w:r w:rsidRPr="005F1A37">
        <w:rPr>
          <w:rFonts w:eastAsia="Times New Roman" w:hint="eastAsia"/>
          <w:szCs w:val="24"/>
        </w:rPr>
        <w:t>The</w:t>
      </w:r>
      <w:r w:rsidRPr="005F1A37">
        <w:rPr>
          <w:rFonts w:eastAsia="Times New Roman"/>
          <w:szCs w:val="24"/>
        </w:rPr>
        <w:t xml:space="preserve">refore, we varied the power coupling ratio from 0.002 to 0.03 to make </w:t>
      </w:r>
      <w:r>
        <w:rPr>
          <w:rFonts w:eastAsia="Times New Roman"/>
          <w:szCs w:val="24"/>
        </w:rPr>
        <w:t xml:space="preserve">sure </w:t>
      </w:r>
      <w:r w:rsidRPr="005F1A37">
        <w:rPr>
          <w:rFonts w:eastAsia="Times New Roman"/>
          <w:szCs w:val="24"/>
        </w:rPr>
        <w:t>over-coupling</w:t>
      </w:r>
      <w:r>
        <w:rPr>
          <w:rFonts w:eastAsia="Times New Roman"/>
          <w:szCs w:val="24"/>
        </w:rPr>
        <w:t xml:space="preserve"> can be obtained</w:t>
      </w:r>
      <w:r w:rsidRPr="005F1A37">
        <w:rPr>
          <w:rFonts w:eastAsia="Times New Roman"/>
          <w:szCs w:val="24"/>
        </w:rPr>
        <w:t xml:space="preserve">. As shown in Fig. </w:t>
      </w:r>
      <w:r>
        <w:rPr>
          <w:rFonts w:eastAsia="Times New Roman"/>
          <w:szCs w:val="24"/>
        </w:rPr>
        <w:t>S1A</w:t>
      </w:r>
      <w:r w:rsidRPr="005F1A37">
        <w:rPr>
          <w:rFonts w:eastAsia="Times New Roman"/>
          <w:szCs w:val="24"/>
        </w:rPr>
        <w:t xml:space="preserve">, when the power coupling ratio is in the range of 0.012 to 0.026, the conversion efficiency of the dark soliton microcomb exceeds 50%. Besides, the evolution trend of the -5-dBm optical bandwidth is consistent with the conversion efficiency since the conversion efficiency controls the power level of the comb lines. Figure </w:t>
      </w:r>
      <w:r>
        <w:rPr>
          <w:rFonts w:eastAsia="Times New Roman"/>
          <w:szCs w:val="24"/>
        </w:rPr>
        <w:t>S1B</w:t>
      </w:r>
      <w:r w:rsidRPr="005F1A37">
        <w:rPr>
          <w:rFonts w:eastAsia="Times New Roman"/>
          <w:szCs w:val="24"/>
        </w:rPr>
        <w:t xml:space="preserve"> illustrates the effect of the dispersion on the conversion efficiency and the -5-dBm optical bandwidth. In this simulation, the power coupling ratio of the microring is 0.01. When </w:t>
      </w:r>
      <w:r w:rsidRPr="005F1A37">
        <w:rPr>
          <w:rFonts w:ascii="Cambria Math" w:eastAsia="Times New Roman" w:hAnsi="Cambria Math" w:cs="Cambria Math"/>
          <w:szCs w:val="24"/>
        </w:rPr>
        <w:t>𝛽</w:t>
      </w:r>
      <w:r w:rsidRPr="005F1A37">
        <w:rPr>
          <w:rFonts w:eastAsia="Times New Roman"/>
          <w:szCs w:val="24"/>
          <w:vertAlign w:val="subscript"/>
        </w:rPr>
        <w:t>2</w:t>
      </w:r>
      <w:r w:rsidRPr="005F1A37">
        <w:rPr>
          <w:rFonts w:eastAsia="Times New Roman"/>
          <w:szCs w:val="24"/>
        </w:rPr>
        <w:t xml:space="preserve"> is varied from 100 ps</w:t>
      </w:r>
      <w:r w:rsidRPr="005F1A37">
        <w:rPr>
          <w:rFonts w:eastAsia="Times New Roman"/>
          <w:szCs w:val="24"/>
          <w:vertAlign w:val="superscript"/>
        </w:rPr>
        <w:t>2</w:t>
      </w:r>
      <w:r w:rsidRPr="005F1A37">
        <w:rPr>
          <w:rFonts w:eastAsia="Times New Roman"/>
          <w:szCs w:val="24"/>
        </w:rPr>
        <w:t>/km to 1000 ps</w:t>
      </w:r>
      <w:r w:rsidRPr="005F1A37">
        <w:rPr>
          <w:rFonts w:eastAsia="Times New Roman"/>
          <w:szCs w:val="24"/>
          <w:vertAlign w:val="superscript"/>
        </w:rPr>
        <w:t>2</w:t>
      </w:r>
      <w:r w:rsidRPr="005F1A37">
        <w:rPr>
          <w:rFonts w:eastAsia="Times New Roman"/>
          <w:szCs w:val="24"/>
        </w:rPr>
        <w:t xml:space="preserve">/km, the conversion efficiency only increases from 40% to 50.2%, which means </w:t>
      </w:r>
      <w:r w:rsidRPr="005F1A37">
        <w:rPr>
          <w:rFonts w:ascii="Cambria Math" w:eastAsia="Times New Roman" w:hAnsi="Cambria Math" w:cs="Cambria Math"/>
          <w:szCs w:val="24"/>
        </w:rPr>
        <w:t>𝛽</w:t>
      </w:r>
      <w:r w:rsidRPr="005F1A37">
        <w:rPr>
          <w:rFonts w:eastAsia="Times New Roman"/>
          <w:szCs w:val="24"/>
          <w:vertAlign w:val="subscript"/>
        </w:rPr>
        <w:t>2</w:t>
      </w:r>
      <w:r w:rsidRPr="005F1A37">
        <w:rPr>
          <w:rFonts w:eastAsia="Times New Roman"/>
          <w:szCs w:val="24"/>
        </w:rPr>
        <w:t xml:space="preserve"> has a lower impact on the conversion efficiency compared with the power coupling ratio. In contrast to the monotonic change of the conversion efficiency, the -5-dBm optical bandwidth firstly increases with </w:t>
      </w:r>
      <w:r w:rsidRPr="005F1A37">
        <w:rPr>
          <w:rFonts w:ascii="Cambria Math" w:eastAsia="Times New Roman" w:hAnsi="Cambria Math" w:cs="Cambria Math"/>
          <w:szCs w:val="24"/>
        </w:rPr>
        <w:t>𝛽</w:t>
      </w:r>
      <w:r w:rsidRPr="005F1A37">
        <w:rPr>
          <w:rFonts w:eastAsia="Times New Roman"/>
          <w:szCs w:val="24"/>
          <w:vertAlign w:val="subscript"/>
        </w:rPr>
        <w:t>2</w:t>
      </w:r>
      <w:r w:rsidRPr="005F1A37">
        <w:rPr>
          <w:rFonts w:eastAsia="Times New Roman"/>
          <w:szCs w:val="24"/>
        </w:rPr>
        <w:t xml:space="preserve">, and reaches a maximum of 30 nm when </w:t>
      </w:r>
      <w:r w:rsidRPr="005F1A37">
        <w:rPr>
          <w:rFonts w:ascii="Cambria Math" w:eastAsia="Times New Roman" w:hAnsi="Cambria Math" w:cs="Cambria Math"/>
          <w:szCs w:val="24"/>
        </w:rPr>
        <w:t>𝛽</w:t>
      </w:r>
      <w:r w:rsidRPr="00F37E69">
        <w:rPr>
          <w:rFonts w:eastAsia="Times New Roman"/>
          <w:szCs w:val="24"/>
          <w:vertAlign w:val="subscript"/>
        </w:rPr>
        <w:t xml:space="preserve">2 </w:t>
      </w:r>
      <w:r w:rsidRPr="005F1A37">
        <w:rPr>
          <w:rFonts w:eastAsia="Times New Roman"/>
          <w:szCs w:val="24"/>
        </w:rPr>
        <w:t>is around 600 ps</w:t>
      </w:r>
      <w:r w:rsidRPr="005F1A37">
        <w:rPr>
          <w:rFonts w:eastAsia="Times New Roman"/>
          <w:szCs w:val="24"/>
          <w:vertAlign w:val="superscript"/>
        </w:rPr>
        <w:t>2</w:t>
      </w:r>
      <w:r w:rsidRPr="005F1A37">
        <w:rPr>
          <w:rFonts w:eastAsia="Times New Roman"/>
          <w:szCs w:val="24"/>
        </w:rPr>
        <w:t xml:space="preserve">/km. With </w:t>
      </w:r>
      <w:r>
        <w:rPr>
          <w:rFonts w:eastAsia="Times New Roman"/>
          <w:szCs w:val="24"/>
        </w:rPr>
        <w:t xml:space="preserve">a </w:t>
      </w:r>
      <w:r w:rsidRPr="005F1A37">
        <w:rPr>
          <w:rFonts w:eastAsia="Times New Roman"/>
          <w:szCs w:val="24"/>
        </w:rPr>
        <w:t xml:space="preserve">further increase in </w:t>
      </w:r>
      <w:r w:rsidRPr="005F1A37">
        <w:rPr>
          <w:rFonts w:ascii="Cambria Math" w:eastAsia="Times New Roman" w:hAnsi="Cambria Math" w:cs="Cambria Math"/>
          <w:szCs w:val="24"/>
        </w:rPr>
        <w:t>𝛽</w:t>
      </w:r>
      <w:r w:rsidRPr="00F37E69">
        <w:rPr>
          <w:rFonts w:eastAsia="Times New Roman"/>
          <w:szCs w:val="24"/>
          <w:vertAlign w:val="subscript"/>
        </w:rPr>
        <w:t>2</w:t>
      </w:r>
      <w:r w:rsidRPr="005F1A37">
        <w:rPr>
          <w:rFonts w:eastAsia="Times New Roman"/>
          <w:szCs w:val="24"/>
        </w:rPr>
        <w:t xml:space="preserve">, the -5-dBm optical bandwidth decreases accordingly. We attribute this </w:t>
      </w:r>
      <w:r>
        <w:rPr>
          <w:rFonts w:eastAsia="Times New Roman"/>
          <w:szCs w:val="24"/>
        </w:rPr>
        <w:t>trend</w:t>
      </w:r>
      <w:r w:rsidRPr="005F1A37">
        <w:rPr>
          <w:rFonts w:eastAsia="Times New Roman"/>
          <w:szCs w:val="24"/>
        </w:rPr>
        <w:t xml:space="preserve"> to the significant impact of </w:t>
      </w:r>
      <w:r w:rsidRPr="005F1A37">
        <w:rPr>
          <w:rFonts w:ascii="Cambria Math" w:eastAsia="Times New Roman" w:hAnsi="Cambria Math" w:cs="Cambria Math"/>
          <w:szCs w:val="24"/>
        </w:rPr>
        <w:t>𝛽</w:t>
      </w:r>
      <w:r w:rsidRPr="00F37E69">
        <w:rPr>
          <w:rFonts w:eastAsia="Times New Roman"/>
          <w:szCs w:val="24"/>
          <w:vertAlign w:val="subscript"/>
        </w:rPr>
        <w:t>2</w:t>
      </w:r>
      <w:r w:rsidRPr="005F1A37">
        <w:rPr>
          <w:rFonts w:eastAsia="Times New Roman"/>
          <w:szCs w:val="24"/>
        </w:rPr>
        <w:t xml:space="preserve"> on the spectral shape of the dark soliton microcomb.</w:t>
      </w:r>
    </w:p>
    <w:p w14:paraId="5F814D9B" w14:textId="77777777" w:rsidR="00A0323A" w:rsidRDefault="00A0323A" w:rsidP="006B06B2">
      <w:pPr>
        <w:spacing w:after="100" w:afterAutospacing="1"/>
        <w:ind w:firstLineChars="177" w:firstLine="425"/>
        <w:jc w:val="both"/>
        <w:rPr>
          <w:rFonts w:eastAsia="Times New Roman"/>
          <w:szCs w:val="24"/>
        </w:rPr>
      </w:pPr>
      <w:r w:rsidRPr="00110465">
        <w:rPr>
          <w:rFonts w:eastAsia="Times New Roman"/>
          <w:szCs w:val="24"/>
        </w:rPr>
        <w:t xml:space="preserve">Figure </w:t>
      </w:r>
      <w:r>
        <w:rPr>
          <w:rFonts w:eastAsia="Times New Roman"/>
          <w:szCs w:val="24"/>
        </w:rPr>
        <w:t>S1C</w:t>
      </w:r>
      <w:r w:rsidRPr="00110465">
        <w:rPr>
          <w:rFonts w:eastAsia="Times New Roman"/>
          <w:szCs w:val="24"/>
        </w:rPr>
        <w:t xml:space="preserve"> shows the simulated spectra of the dark soliton microcomb under various </w:t>
      </w:r>
      <w:r w:rsidRPr="00110465">
        <w:rPr>
          <w:rFonts w:ascii="Cambria Math" w:eastAsia="Times New Roman" w:hAnsi="Cambria Math" w:cs="Cambria Math"/>
          <w:szCs w:val="24"/>
        </w:rPr>
        <w:t>𝛽</w:t>
      </w:r>
      <w:r w:rsidRPr="00110465">
        <w:rPr>
          <w:rFonts w:eastAsia="Times New Roman"/>
          <w:szCs w:val="24"/>
          <w:vertAlign w:val="subscript"/>
        </w:rPr>
        <w:t>2</w:t>
      </w:r>
      <w:r w:rsidRPr="00110465">
        <w:rPr>
          <w:rFonts w:eastAsia="Times New Roman"/>
          <w:szCs w:val="24"/>
        </w:rPr>
        <w:t xml:space="preserve">. There exist two peaks on both sides of the spectrum (marked with black arrows), which are called quasi-phase-matched waves. These two peaks are related to the dispersion-related phase matching for the four-wave mixing (FWM) </w:t>
      </w:r>
      <w:r w:rsidRPr="00110465">
        <w:rPr>
          <w:rFonts w:eastAsia="Times New Roman"/>
          <w:szCs w:val="24"/>
        </w:rPr>
        <w:fldChar w:fldCharType="begin">
          <w:fldData xml:space="preserve">PEVuZE5vdGU+PENpdGU+PEF1dGhvcj5BbmRlcnNvbjwvQXV0aG9yPjxZZWFyPjIwMjI8L1llYXI+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=
</w:fldData>
        </w:fldChar>
      </w:r>
      <w:r>
        <w:rPr>
          <w:rFonts w:eastAsia="Times New Roman"/>
          <w:szCs w:val="24"/>
        </w:rPr>
        <w:instrText xml:space="preserve"> ADDIN EN.CITE </w:instrText>
      </w:r>
      <w:r>
        <w:rPr>
          <w:rFonts w:eastAsia="Times New Roman"/>
          <w:szCs w:val="24"/>
        </w:rPr>
        <w:fldChar w:fldCharType="begin">
          <w:fldData xml:space="preserve">PEVuZE5vdGU+PENpdGU+PEF1dGhvcj5BbmRlcnNvbjwvQXV0aG9yPjxZZWFyPjIwMjI8L1llYXI+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=
</w:fldData>
        </w:fldChar>
      </w:r>
      <w:r>
        <w:rPr>
          <w:rFonts w:eastAsia="Times New Roman"/>
          <w:szCs w:val="24"/>
        </w:rPr>
        <w:instrText xml:space="preserve"> ADDIN EN.CITE.DATA </w:instrText>
      </w:r>
      <w:r>
        <w:rPr>
          <w:rFonts w:eastAsia="Times New Roman"/>
          <w:szCs w:val="24"/>
        </w:rPr>
      </w:r>
      <w:r>
        <w:rPr>
          <w:rFonts w:eastAsia="Times New Roman"/>
          <w:szCs w:val="24"/>
        </w:rPr>
        <w:fldChar w:fldCharType="end"/>
      </w:r>
      <w:r w:rsidRPr="00110465">
        <w:rPr>
          <w:rFonts w:eastAsia="Times New Roman"/>
          <w:szCs w:val="24"/>
        </w:rPr>
      </w:r>
      <w:r w:rsidRPr="00110465">
        <w:rPr>
          <w:rFonts w:eastAsia="Times New Roman"/>
          <w:szCs w:val="24"/>
        </w:rPr>
        <w:fldChar w:fldCharType="separate"/>
      </w:r>
      <w:r>
        <w:rPr>
          <w:rFonts w:eastAsia="Times New Roman"/>
          <w:noProof/>
          <w:szCs w:val="24"/>
        </w:rPr>
        <w:t>[3, 4]</w:t>
      </w:r>
      <w:r w:rsidRPr="00110465">
        <w:rPr>
          <w:rFonts w:eastAsia="Times New Roman"/>
          <w:szCs w:val="24"/>
        </w:rPr>
        <w:fldChar w:fldCharType="end"/>
      </w:r>
      <w:r w:rsidRPr="00110465">
        <w:rPr>
          <w:rFonts w:eastAsia="Times New Roman"/>
          <w:szCs w:val="24"/>
        </w:rPr>
        <w:t xml:space="preserve">. The blue dotted lines denote the -5-dBm power level of the generated dark soliton microcombs. As can be seen, most of the high-power comb lines are located within these two peaks. When </w:t>
      </w:r>
      <w:r w:rsidRPr="00110465">
        <w:rPr>
          <w:rFonts w:ascii="Cambria Math" w:eastAsia="Times New Roman" w:hAnsi="Cambria Math" w:cs="Cambria Math"/>
          <w:szCs w:val="24"/>
        </w:rPr>
        <w:t>𝛽</w:t>
      </w:r>
      <w:r w:rsidRPr="00110465">
        <w:rPr>
          <w:rFonts w:eastAsia="Times New Roman"/>
          <w:szCs w:val="24"/>
          <w:vertAlign w:val="subscript"/>
        </w:rPr>
        <w:t>2</w:t>
      </w:r>
      <w:r w:rsidRPr="00110465">
        <w:rPr>
          <w:rFonts w:eastAsia="Times New Roman"/>
          <w:szCs w:val="24"/>
        </w:rPr>
        <w:t xml:space="preserve"> is small, although the spectral spacing between two peaks is large, most comb lines cannot reach the -5-dBm power level. As </w:t>
      </w:r>
      <w:r w:rsidRPr="00110465">
        <w:rPr>
          <w:rFonts w:ascii="Cambria Math" w:eastAsia="Times New Roman" w:hAnsi="Cambria Math" w:cs="Cambria Math"/>
          <w:szCs w:val="24"/>
        </w:rPr>
        <w:t>𝛽</w:t>
      </w:r>
      <w:r w:rsidRPr="00110465">
        <w:rPr>
          <w:rFonts w:eastAsia="Times New Roman"/>
          <w:szCs w:val="24"/>
          <w:vertAlign w:val="subscript"/>
        </w:rPr>
        <w:t>2</w:t>
      </w:r>
      <w:r w:rsidRPr="00110465">
        <w:rPr>
          <w:rFonts w:eastAsia="Times New Roman"/>
          <w:szCs w:val="24"/>
        </w:rPr>
        <w:t xml:space="preserve"> increases, these two peaks </w:t>
      </w:r>
      <w:r w:rsidRPr="00110465">
        <w:rPr>
          <w:rFonts w:eastAsia="Times New Roman"/>
          <w:szCs w:val="24"/>
        </w:rPr>
        <w:lastRenderedPageBreak/>
        <w:t xml:space="preserve">move toward the pump, and the number of comb lines between the two peaks decreases. Since the conversion efficiency also slightly increases with </w:t>
      </w:r>
      <w:r w:rsidRPr="00110465">
        <w:rPr>
          <w:rFonts w:ascii="Cambria Math" w:eastAsia="Times New Roman" w:hAnsi="Cambria Math" w:cs="Cambria Math"/>
          <w:szCs w:val="24"/>
        </w:rPr>
        <w:t>𝛽</w:t>
      </w:r>
      <w:r w:rsidRPr="00110465">
        <w:rPr>
          <w:rFonts w:eastAsia="Times New Roman"/>
          <w:szCs w:val="24"/>
          <w:vertAlign w:val="subscript"/>
        </w:rPr>
        <w:t>2</w:t>
      </w:r>
      <w:r w:rsidRPr="00110465">
        <w:rPr>
          <w:rFonts w:eastAsia="Times New Roman"/>
          <w:szCs w:val="24"/>
        </w:rPr>
        <w:t xml:space="preserve">, the power of comb lines concentrated between the two peaks raises accordingly, which results in the increment of the -5 dB optical bandwidth. Further increment in </w:t>
      </w:r>
      <w:r w:rsidRPr="00110465">
        <w:rPr>
          <w:rFonts w:ascii="Cambria Math" w:eastAsia="Times New Roman" w:hAnsi="Cambria Math" w:cs="Cambria Math"/>
          <w:szCs w:val="24"/>
        </w:rPr>
        <w:t>𝛽</w:t>
      </w:r>
      <w:r w:rsidRPr="00110465">
        <w:rPr>
          <w:rFonts w:eastAsia="Times New Roman"/>
          <w:szCs w:val="24"/>
          <w:vertAlign w:val="subscript"/>
        </w:rPr>
        <w:t>2</w:t>
      </w:r>
      <w:r w:rsidRPr="00110465">
        <w:rPr>
          <w:rFonts w:eastAsia="Times New Roman"/>
          <w:szCs w:val="24"/>
        </w:rPr>
        <w:t xml:space="preserve"> results in a decrease in the number of high-power comb lines, therefore </w:t>
      </w:r>
      <w:r>
        <w:rPr>
          <w:rFonts w:eastAsia="Times New Roman"/>
          <w:szCs w:val="24"/>
        </w:rPr>
        <w:t xml:space="preserve">reducing </w:t>
      </w:r>
      <w:r w:rsidRPr="00110465">
        <w:rPr>
          <w:rFonts w:eastAsia="Times New Roman"/>
          <w:szCs w:val="24"/>
        </w:rPr>
        <w:t>the -5-dBm optical bandwidth.</w:t>
      </w:r>
    </w:p>
    <w:p w14:paraId="7E8B105E" w14:textId="77777777" w:rsidR="00A0323A" w:rsidRDefault="00A0323A" w:rsidP="006B06B2">
      <w:pPr>
        <w:spacing w:after="100" w:afterAutospacing="1"/>
        <w:ind w:firstLineChars="177" w:firstLine="425"/>
        <w:jc w:val="both"/>
        <w:rPr>
          <w:rFonts w:eastAsia="Times New Roman"/>
          <w:szCs w:val="24"/>
        </w:rPr>
      </w:pPr>
      <w:r w:rsidRPr="004D180F">
        <w:rPr>
          <w:rFonts w:eastAsia="Times New Roman"/>
          <w:szCs w:val="24"/>
        </w:rPr>
        <w:t xml:space="preserve">Figure </w:t>
      </w:r>
      <w:r>
        <w:rPr>
          <w:rFonts w:eastAsia="Times New Roman"/>
          <w:szCs w:val="24"/>
        </w:rPr>
        <w:t>S1D</w:t>
      </w:r>
      <w:r w:rsidRPr="004D180F">
        <w:rPr>
          <w:rFonts w:eastAsia="Times New Roman"/>
          <w:szCs w:val="24"/>
        </w:rPr>
        <w:t xml:space="preserve"> shows the simulated -5-dBm optical bandwidth with both the coupling ratio and </w:t>
      </w:r>
      <w:r w:rsidRPr="004D180F">
        <w:rPr>
          <w:rFonts w:ascii="Cambria Math" w:eastAsia="Times New Roman" w:hAnsi="Cambria Math" w:cs="Cambria Math"/>
          <w:szCs w:val="24"/>
        </w:rPr>
        <w:t>𝛽</w:t>
      </w:r>
      <w:r w:rsidRPr="004D180F">
        <w:rPr>
          <w:rFonts w:eastAsia="Times New Roman"/>
          <w:szCs w:val="24"/>
          <w:vertAlign w:val="subscript"/>
        </w:rPr>
        <w:t>2</w:t>
      </w:r>
      <w:r w:rsidRPr="004D180F">
        <w:rPr>
          <w:rFonts w:eastAsia="Times New Roman"/>
          <w:szCs w:val="24"/>
        </w:rPr>
        <w:t xml:space="preserve"> in the two-dimensional parameter sweep. The maximal -5-dBm bandwidth is 33 nm when </w:t>
      </w:r>
      <w:r w:rsidRPr="004D180F">
        <w:rPr>
          <w:rFonts w:ascii="Cambria Math" w:eastAsia="Times New Roman" w:hAnsi="Cambria Math" w:cs="Cambria Math"/>
          <w:szCs w:val="24"/>
        </w:rPr>
        <w:t>𝛽</w:t>
      </w:r>
      <w:r w:rsidRPr="004D180F">
        <w:rPr>
          <w:rFonts w:eastAsia="Times New Roman"/>
          <w:szCs w:val="24"/>
          <w:vertAlign w:val="subscript"/>
        </w:rPr>
        <w:t>2</w:t>
      </w:r>
      <w:r w:rsidRPr="004D180F">
        <w:rPr>
          <w:rFonts w:eastAsia="Times New Roman"/>
          <w:szCs w:val="24"/>
        </w:rPr>
        <w:t xml:space="preserve"> is near 550 ps</w:t>
      </w:r>
      <w:r w:rsidRPr="004D180F">
        <w:rPr>
          <w:rFonts w:eastAsia="Times New Roman"/>
          <w:szCs w:val="24"/>
          <w:vertAlign w:val="superscript"/>
        </w:rPr>
        <w:t>2</w:t>
      </w:r>
      <w:r w:rsidRPr="004D180F">
        <w:rPr>
          <w:rFonts w:eastAsia="Times New Roman"/>
          <w:szCs w:val="24"/>
        </w:rPr>
        <w:t xml:space="preserve">/km and the coupling ratio </w:t>
      </w:r>
      <w:r>
        <w:rPr>
          <w:rFonts w:eastAsia="Times New Roman"/>
          <w:szCs w:val="24"/>
        </w:rPr>
        <w:t>is in the range from</w:t>
      </w:r>
      <w:r w:rsidRPr="004D180F">
        <w:rPr>
          <w:rFonts w:eastAsia="Times New Roman"/>
          <w:szCs w:val="24"/>
        </w:rPr>
        <w:t xml:space="preserve"> 0.013 to 0.022. The -5-dBm bandwidth exceeds 25 nm in a wide range of </w:t>
      </w:r>
      <w:r w:rsidRPr="004D180F">
        <w:rPr>
          <w:rFonts w:ascii="Cambria Math" w:eastAsia="Times New Roman" w:hAnsi="Cambria Math" w:cs="Cambria Math"/>
          <w:szCs w:val="24"/>
        </w:rPr>
        <w:t>𝛽</w:t>
      </w:r>
      <w:r w:rsidRPr="004D180F">
        <w:rPr>
          <w:rFonts w:eastAsia="Times New Roman"/>
          <w:szCs w:val="24"/>
          <w:vertAlign w:val="subscript"/>
        </w:rPr>
        <w:t>2</w:t>
      </w:r>
      <w:r w:rsidRPr="004D180F">
        <w:rPr>
          <w:rFonts w:eastAsia="Times New Roman"/>
          <w:szCs w:val="24"/>
        </w:rPr>
        <w:t xml:space="preserve"> from 400 ps</w:t>
      </w:r>
      <w:r w:rsidRPr="004D180F">
        <w:rPr>
          <w:rFonts w:eastAsia="Times New Roman"/>
          <w:szCs w:val="24"/>
          <w:vertAlign w:val="superscript"/>
        </w:rPr>
        <w:t>2</w:t>
      </w:r>
      <w:r w:rsidRPr="004D180F">
        <w:rPr>
          <w:rFonts w:eastAsia="Times New Roman"/>
          <w:szCs w:val="24"/>
        </w:rPr>
        <w:t>/km to 900 ps</w:t>
      </w:r>
      <w:r w:rsidRPr="004D180F">
        <w:rPr>
          <w:rFonts w:eastAsia="Times New Roman"/>
          <w:szCs w:val="24"/>
          <w:vertAlign w:val="superscript"/>
        </w:rPr>
        <w:t>2</w:t>
      </w:r>
      <w:r w:rsidRPr="004D180F">
        <w:rPr>
          <w:rFonts w:eastAsia="Times New Roman"/>
          <w:szCs w:val="24"/>
        </w:rPr>
        <w:t xml:space="preserve">/km and the coupling ratio from 0.008 to 0.026, which can support more than 30 lines. The proper control of the power coupling ratio and the GVD value of the microring demonstrates a promising </w:t>
      </w:r>
      <w:r w:rsidRPr="004D180F">
        <w:rPr>
          <w:rFonts w:eastAsia="Times New Roman" w:hint="eastAsia"/>
          <w:szCs w:val="24"/>
        </w:rPr>
        <w:t>and</w:t>
      </w:r>
      <w:r w:rsidRPr="004D180F">
        <w:rPr>
          <w:rFonts w:eastAsia="Times New Roman"/>
          <w:szCs w:val="24"/>
        </w:rPr>
        <w:t xml:space="preserve"> reliable approach to constructing the dark soliton microcomb with both </w:t>
      </w:r>
      <w:r>
        <w:rPr>
          <w:rFonts w:eastAsia="Times New Roman"/>
          <w:szCs w:val="24"/>
        </w:rPr>
        <w:t xml:space="preserve">a </w:t>
      </w:r>
      <w:r w:rsidRPr="004D180F">
        <w:rPr>
          <w:rFonts w:eastAsia="Times New Roman"/>
          <w:szCs w:val="24"/>
        </w:rPr>
        <w:t xml:space="preserve">high conversion efficiency and </w:t>
      </w:r>
      <w:r>
        <w:rPr>
          <w:rFonts w:eastAsia="Times New Roman"/>
          <w:szCs w:val="24"/>
        </w:rPr>
        <w:t xml:space="preserve">a </w:t>
      </w:r>
      <w:r w:rsidRPr="004D180F">
        <w:rPr>
          <w:rFonts w:eastAsia="Times New Roman"/>
          <w:szCs w:val="24"/>
        </w:rPr>
        <w:t>broad bandwidth.</w:t>
      </w:r>
    </w:p>
    <w:p w14:paraId="37FFD6EB" w14:textId="77777777" w:rsidR="00A0323A" w:rsidRDefault="00A0323A" w:rsidP="006B06B2">
      <w:pPr>
        <w:spacing w:after="100" w:afterAutospacing="1"/>
        <w:ind w:firstLineChars="177" w:firstLine="425"/>
        <w:jc w:val="both"/>
        <w:rPr>
          <w:rFonts w:eastAsia="Times New Roman"/>
          <w:szCs w:val="24"/>
        </w:rPr>
      </w:pPr>
      <w:r w:rsidRPr="00FB5A18">
        <w:rPr>
          <w:rFonts w:eastAsia="Times New Roman"/>
          <w:szCs w:val="24"/>
        </w:rPr>
        <w:t>We further explore</w:t>
      </w:r>
      <w:r>
        <w:rPr>
          <w:rFonts w:eastAsia="Times New Roman"/>
          <w:szCs w:val="24"/>
        </w:rPr>
        <w:t>d</w:t>
      </w:r>
      <w:r w:rsidRPr="00FB5A18">
        <w:rPr>
          <w:rFonts w:eastAsia="Times New Roman"/>
          <w:szCs w:val="24"/>
        </w:rPr>
        <w:t xml:space="preserve"> the effect of the waveguide </w:t>
      </w:r>
      <w:r>
        <w:rPr>
          <w:rFonts w:eastAsia="Times New Roman"/>
          <w:szCs w:val="24"/>
        </w:rPr>
        <w:t>dimensions</w:t>
      </w:r>
      <w:r w:rsidRPr="00FB5A18">
        <w:rPr>
          <w:rFonts w:eastAsia="Times New Roman"/>
          <w:szCs w:val="24"/>
        </w:rPr>
        <w:t xml:space="preserve"> on the coupling ratio as well as </w:t>
      </w:r>
      <w:r w:rsidRPr="00FB5A18">
        <w:rPr>
          <w:rFonts w:ascii="Cambria Math" w:eastAsia="Times New Roman" w:hAnsi="Cambria Math" w:cs="Cambria Math"/>
          <w:szCs w:val="24"/>
        </w:rPr>
        <w:t>𝛽</w:t>
      </w:r>
      <w:r w:rsidRPr="00FB5A18">
        <w:rPr>
          <w:rFonts w:eastAsia="Times New Roman"/>
          <w:szCs w:val="24"/>
          <w:vertAlign w:val="subscript"/>
        </w:rPr>
        <w:t>2</w:t>
      </w:r>
      <w:r w:rsidRPr="00FB5A18">
        <w:rPr>
          <w:rFonts w:eastAsia="Times New Roman"/>
          <w:szCs w:val="24"/>
        </w:rPr>
        <w:t xml:space="preserve"> based on the simulation from Lumerical FDTD and Mode solution, as shown in Figs. </w:t>
      </w:r>
      <w:r>
        <w:rPr>
          <w:rFonts w:eastAsia="Times New Roman"/>
          <w:szCs w:val="24"/>
        </w:rPr>
        <w:t>S1E</w:t>
      </w:r>
      <w:r w:rsidRPr="00FB5A18">
        <w:rPr>
          <w:rFonts w:eastAsia="Times New Roman"/>
          <w:szCs w:val="24"/>
        </w:rPr>
        <w:t xml:space="preserve"> and </w:t>
      </w:r>
      <w:r>
        <w:rPr>
          <w:rFonts w:eastAsia="Times New Roman"/>
          <w:szCs w:val="24"/>
        </w:rPr>
        <w:t>F</w:t>
      </w:r>
      <w:r w:rsidRPr="00FB5A18">
        <w:rPr>
          <w:rFonts w:eastAsia="Times New Roman"/>
          <w:szCs w:val="24"/>
        </w:rPr>
        <w:t>. The optimal region with the -5-dBm bandwidth exceeding 25 nm is marked with a white dotted box, with a waveguide height ranging from 0.3 µm to 0.45 µm. Therefore, the Si</w:t>
      </w:r>
      <w:r w:rsidRPr="00FB5A18">
        <w:rPr>
          <w:rFonts w:eastAsia="Times New Roman"/>
          <w:szCs w:val="24"/>
          <w:vertAlign w:val="subscript"/>
        </w:rPr>
        <w:t>3</w:t>
      </w:r>
      <w:r w:rsidRPr="00FB5A18">
        <w:rPr>
          <w:rFonts w:eastAsia="Times New Roman"/>
          <w:szCs w:val="24"/>
        </w:rPr>
        <w:t>N</w:t>
      </w:r>
      <w:r w:rsidRPr="00FB5A18">
        <w:rPr>
          <w:rFonts w:eastAsia="Times New Roman"/>
          <w:szCs w:val="24"/>
          <w:vertAlign w:val="subscript"/>
        </w:rPr>
        <w:t>4</w:t>
      </w:r>
      <w:r w:rsidRPr="00FB5A18">
        <w:rPr>
          <w:rFonts w:eastAsia="Times New Roman"/>
          <w:szCs w:val="24"/>
        </w:rPr>
        <w:t xml:space="preserve"> film with a thickness of 400 nm is readily available to generate a dark soliton with a broad -5-dBm bandwidth. As for the coupling ratio, the height of the waveguides is set to 0.4 µm and the width of the microring waveguide is 2 µm. The optimal coupling occurs within the region where the bus waveguide width is between 1.1 µm to 2 µm and the gap ranges from 0.35 µm to 0.55 µm. The extensive range of the waveguide </w:t>
      </w:r>
      <w:r>
        <w:rPr>
          <w:rFonts w:eastAsia="Times New Roman"/>
          <w:szCs w:val="24"/>
        </w:rPr>
        <w:t xml:space="preserve">dimensions </w:t>
      </w:r>
      <w:r w:rsidRPr="00FB5A18">
        <w:rPr>
          <w:rFonts w:eastAsia="Times New Roman"/>
          <w:szCs w:val="24"/>
        </w:rPr>
        <w:t xml:space="preserve">for constructing the microcomb with a broad -5 dBm bandwidth means the microring </w:t>
      </w:r>
      <w:r>
        <w:rPr>
          <w:rFonts w:eastAsia="Times New Roman"/>
          <w:szCs w:val="24"/>
        </w:rPr>
        <w:t>indicates</w:t>
      </w:r>
      <w:r w:rsidRPr="00FB5A18">
        <w:rPr>
          <w:rFonts w:eastAsia="Times New Roman"/>
          <w:szCs w:val="24"/>
        </w:rPr>
        <w:t xml:space="preserve"> </w:t>
      </w:r>
      <w:r>
        <w:rPr>
          <w:rFonts w:eastAsia="Times New Roman"/>
          <w:szCs w:val="24"/>
        </w:rPr>
        <w:t xml:space="preserve">its </w:t>
      </w:r>
      <w:r w:rsidRPr="00FB5A18">
        <w:rPr>
          <w:rFonts w:eastAsia="Times New Roman"/>
          <w:szCs w:val="24"/>
        </w:rPr>
        <w:t>high fabrication tolerance, which is crucial for the mass production of the parallel WDM light source.</w:t>
      </w:r>
    </w:p>
    <w:p w14:paraId="6CE4B715" w14:textId="77777777" w:rsidR="00A0323A" w:rsidRDefault="00A0323A" w:rsidP="006B06B2">
      <w:pPr>
        <w:jc w:val="both"/>
        <w:rPr>
          <w:b/>
        </w:rPr>
      </w:pPr>
    </w:p>
    <w:p w14:paraId="1D5085EF" w14:textId="77777777" w:rsidR="00A0323A" w:rsidRDefault="00A0323A" w:rsidP="006B06B2">
      <w:pPr>
        <w:jc w:val="center"/>
        <w:rPr>
          <w:b/>
        </w:rPr>
      </w:pPr>
      <w:r>
        <w:rPr>
          <w:b/>
          <w:noProof/>
        </w:rPr>
        <w:lastRenderedPageBreak/>
        <w:drawing>
          <wp:inline distT="0" distB="0" distL="0" distR="0" wp14:anchorId="374EDFAB" wp14:editId="67E77324">
            <wp:extent cx="5943600" cy="62172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6217285"/>
                    </a:xfrm>
                    <a:prstGeom prst="rect">
                      <a:avLst/>
                    </a:prstGeom>
                  </pic:spPr>
                </pic:pic>
              </a:graphicData>
            </a:graphic>
          </wp:inline>
        </w:drawing>
      </w:r>
    </w:p>
    <w:p w14:paraId="352EEB7B" w14:textId="77777777" w:rsidR="00A0323A" w:rsidRPr="0040670A" w:rsidRDefault="00A0323A" w:rsidP="006B06B2">
      <w:pPr>
        <w:pStyle w:val="Head1"/>
      </w:pPr>
      <w:r w:rsidRPr="00005D13">
        <w:rPr>
          <w:b/>
        </w:rPr>
        <w:t xml:space="preserve">Fig. </w:t>
      </w:r>
      <w:r>
        <w:rPr>
          <w:b/>
        </w:rPr>
        <w:t>S1.</w:t>
      </w:r>
      <w:r w:rsidRPr="00005D13">
        <w:rPr>
          <w:b/>
        </w:rPr>
        <w:t xml:space="preserve"> Comb source design with </w:t>
      </w:r>
      <w:r>
        <w:rPr>
          <w:b/>
        </w:rPr>
        <w:t xml:space="preserve">a </w:t>
      </w:r>
      <w:r w:rsidRPr="00005D13">
        <w:rPr>
          <w:b/>
        </w:rPr>
        <w:t>high conversion efficiency and a broad high-power bandwidth.</w:t>
      </w:r>
      <w:r w:rsidRPr="0040670A">
        <w:t xml:space="preserve">  (</w:t>
      </w:r>
      <w:r w:rsidRPr="0014655A">
        <w:rPr>
          <w:rFonts w:eastAsiaTheme="minorEastAsia"/>
          <w:b/>
        </w:rPr>
        <w:t>A</w:t>
      </w:r>
      <w:r w:rsidRPr="0040670A">
        <w:t xml:space="preserve">, </w:t>
      </w:r>
      <w:r>
        <w:rPr>
          <w:b/>
        </w:rPr>
        <w:t>B</w:t>
      </w:r>
      <w:r w:rsidRPr="0040670A">
        <w:t>) Simulated conversion efficiency (left) and -5-dBm bandwidth (right) as a function of (</w:t>
      </w:r>
      <w:r w:rsidRPr="0014655A">
        <w:rPr>
          <w:b/>
        </w:rPr>
        <w:t>A</w:t>
      </w:r>
      <w:r w:rsidRPr="0040670A">
        <w:t>) the power coupling ratio and (</w:t>
      </w:r>
      <w:r w:rsidRPr="0014655A">
        <w:rPr>
          <w:b/>
        </w:rPr>
        <w:t>B</w:t>
      </w:r>
      <w:r w:rsidRPr="0040670A">
        <w:t>) the normal GVD value. (</w:t>
      </w:r>
      <w:r>
        <w:rPr>
          <w:b/>
        </w:rPr>
        <w:t>C</w:t>
      </w:r>
      <w:r w:rsidRPr="0040670A">
        <w:t xml:space="preserve">) Dark soliton spectra at the through port under various GVD values. </w:t>
      </w:r>
      <w:r>
        <w:t>T</w:t>
      </w:r>
      <w:r w:rsidRPr="0040670A">
        <w:t xml:space="preserve">he blue dotted lines mark the -5 dBm </w:t>
      </w:r>
      <w:r>
        <w:t xml:space="preserve">optical </w:t>
      </w:r>
      <w:r w:rsidRPr="0040670A">
        <w:t>power. (</w:t>
      </w:r>
      <w:r>
        <w:rPr>
          <w:b/>
        </w:rPr>
        <w:t>D</w:t>
      </w:r>
      <w:r w:rsidRPr="0040670A">
        <w:t>) Simulated -5-dBm bandwidth under various combinations of the coupling ratio and the GVD. (</w:t>
      </w:r>
      <w:r>
        <w:rPr>
          <w:b/>
        </w:rPr>
        <w:t>E</w:t>
      </w:r>
      <w:r w:rsidRPr="0040670A">
        <w:t>) Simulated GVD under various microring waveguide widths and heights. (</w:t>
      </w:r>
      <w:r>
        <w:rPr>
          <w:b/>
        </w:rPr>
        <w:t>F</w:t>
      </w:r>
      <w:r w:rsidRPr="0040670A">
        <w:t>) Simulated coupling ratio under various bus waveguide widths and gaps. The optimal regions are marked with white dotted boxes in (</w:t>
      </w:r>
      <w:r w:rsidRPr="0014655A">
        <w:rPr>
          <w:b/>
        </w:rPr>
        <w:t>E</w:t>
      </w:r>
      <w:r w:rsidRPr="0040670A">
        <w:t>) and (</w:t>
      </w:r>
      <w:r>
        <w:rPr>
          <w:b/>
        </w:rPr>
        <w:t>F</w:t>
      </w:r>
      <w:r w:rsidRPr="0040670A">
        <w:t>).</w:t>
      </w:r>
    </w:p>
    <w:p w14:paraId="51F14EF7" w14:textId="77777777" w:rsidR="00A0323A" w:rsidRPr="00262D72" w:rsidRDefault="00A0323A" w:rsidP="006B06B2">
      <w:pPr>
        <w:jc w:val="both"/>
        <w:rPr>
          <w:b/>
        </w:rPr>
      </w:pPr>
      <w:r>
        <w:rPr>
          <w:b/>
        </w:rPr>
        <w:t>Dynamics for dark soliton formation</w:t>
      </w:r>
    </w:p>
    <w:p w14:paraId="316F4A20" w14:textId="77777777" w:rsidR="00A0323A" w:rsidRPr="00EE59BE" w:rsidRDefault="00A0323A" w:rsidP="006B06B2">
      <w:pPr>
        <w:jc w:val="center"/>
      </w:pPr>
      <w:r>
        <w:rPr>
          <w:noProof/>
        </w:rPr>
        <w:lastRenderedPageBreak/>
        <w:drawing>
          <wp:inline distT="0" distB="0" distL="0" distR="0" wp14:anchorId="35392BFB" wp14:editId="6D591858">
            <wp:extent cx="5588443" cy="4531057"/>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90124" cy="4532420"/>
                    </a:xfrm>
                    <a:prstGeom prst="rect">
                      <a:avLst/>
                    </a:prstGeom>
                  </pic:spPr>
                </pic:pic>
              </a:graphicData>
            </a:graphic>
          </wp:inline>
        </w:drawing>
      </w:r>
    </w:p>
    <w:p w14:paraId="157B72C9" w14:textId="77777777" w:rsidR="00A0323A" w:rsidRDefault="00A0323A" w:rsidP="006B06B2">
      <w:pPr>
        <w:jc w:val="both"/>
        <w:rPr>
          <w:szCs w:val="24"/>
        </w:rPr>
      </w:pPr>
      <w:r w:rsidRPr="00942017">
        <w:rPr>
          <w:b/>
          <w:bCs/>
          <w:szCs w:val="24"/>
        </w:rPr>
        <w:t xml:space="preserve">Fig. </w:t>
      </w:r>
      <w:r>
        <w:rPr>
          <w:b/>
          <w:bCs/>
          <w:szCs w:val="24"/>
        </w:rPr>
        <w:t>S2</w:t>
      </w:r>
      <w:r w:rsidRPr="00942017">
        <w:rPr>
          <w:b/>
          <w:bCs/>
          <w:szCs w:val="24"/>
        </w:rPr>
        <w:t xml:space="preserve"> Dark soliton comb </w:t>
      </w:r>
      <w:r>
        <w:rPr>
          <w:b/>
          <w:bCs/>
          <w:szCs w:val="24"/>
        </w:rPr>
        <w:t xml:space="preserve">generation </w:t>
      </w:r>
      <w:r w:rsidRPr="00942017">
        <w:rPr>
          <w:b/>
          <w:bCs/>
          <w:szCs w:val="24"/>
        </w:rPr>
        <w:t>dynamic</w:t>
      </w:r>
      <w:r>
        <w:rPr>
          <w:b/>
          <w:bCs/>
          <w:szCs w:val="24"/>
        </w:rPr>
        <w:t>s</w:t>
      </w:r>
      <w:r w:rsidRPr="00942017">
        <w:rPr>
          <w:b/>
          <w:bCs/>
          <w:szCs w:val="24"/>
        </w:rPr>
        <w:t xml:space="preserve"> and characterization.</w:t>
      </w:r>
      <w:r w:rsidRPr="00800252">
        <w:rPr>
          <w:szCs w:val="24"/>
        </w:rPr>
        <w:t xml:space="preserve"> (a) Experimental setup for the dark soliton generation. PC: </w:t>
      </w:r>
      <w:r>
        <w:rPr>
          <w:szCs w:val="24"/>
        </w:rPr>
        <w:t>p</w:t>
      </w:r>
      <w:r w:rsidRPr="00800252">
        <w:rPr>
          <w:szCs w:val="24"/>
        </w:rPr>
        <w:t>olarization controller; EDFA: erbium-doped fiber amplifier; PM: power meter; NF: notch filter; BPF: bandpass filter; OSA: optical spectrum analyzer; ESA: electrical signal analyzer; PD: photodetector. (b) Comb power traces under various pump powers of 29, 30, and 31 dBm. (c)-(e) I-III: Recorded comb spectra during the pump wavelength tuning under the pump power of (c) 29 dBm, (d) 30 dBm, and (e) 31 dBm, respectively. The corresponding pump wavelengths are marked with black arrows in (b). The insets show the low-frequency electrical spectra by filtering one of the comb lines.</w:t>
      </w:r>
    </w:p>
    <w:p w14:paraId="3BEF5599" w14:textId="77777777" w:rsidR="00A0323A" w:rsidRDefault="00A0323A" w:rsidP="006B06B2">
      <w:pPr>
        <w:jc w:val="both"/>
      </w:pPr>
    </w:p>
    <w:p w14:paraId="67B39A7B" w14:textId="43E4260F" w:rsidR="00A0323A" w:rsidRDefault="00A0323A" w:rsidP="006B06B2">
      <w:pPr>
        <w:spacing w:after="240"/>
        <w:ind w:firstLineChars="177" w:firstLine="425"/>
        <w:jc w:val="both"/>
      </w:pPr>
      <w:r w:rsidRPr="00230794">
        <w:t xml:space="preserve">We explored the formation of the dark soliton during the pump wavelength tuning process under various input pump powers. The experimental setup is shown in Fig. </w:t>
      </w:r>
      <w:r>
        <w:t>S2A</w:t>
      </w:r>
      <w:r w:rsidRPr="00230794">
        <w:t>. The amplified CW laser was coupled to the Si</w:t>
      </w:r>
      <w:r w:rsidRPr="007B0769">
        <w:rPr>
          <w:vertAlign w:val="subscript"/>
        </w:rPr>
        <w:t>3</w:t>
      </w:r>
      <w:r w:rsidRPr="00230794">
        <w:t>N</w:t>
      </w:r>
      <w:r w:rsidRPr="007B0769">
        <w:rPr>
          <w:vertAlign w:val="subscript"/>
        </w:rPr>
        <w:t>4</w:t>
      </w:r>
      <w:r w:rsidRPr="00230794">
        <w:t xml:space="preserve"> chip before being adjusted to the fundamental TE mode by a polarization controller. At the output, we measured the comb power, the low-frequency noise, and the comb spectrum. Figure </w:t>
      </w:r>
      <w:r>
        <w:t>S2B</w:t>
      </w:r>
      <w:r w:rsidRPr="00230794">
        <w:t xml:space="preserve"> shows the measured comb power traces when the input pump powers are 29, 30, and 31 dBm, respectively. </w:t>
      </w:r>
      <w:r w:rsidRPr="00230794">
        <w:rPr>
          <w:rFonts w:hint="eastAsia"/>
        </w:rPr>
        <w:t xml:space="preserve">When the input pump power is 29 dBm, the mode-locked region of the comb power trace is near 3.7 GHz at around 1557 nm. As shown in Fig. </w:t>
      </w:r>
      <w:r>
        <w:t>S2C</w:t>
      </w:r>
      <w:r w:rsidRPr="00230794">
        <w:rPr>
          <w:rFonts w:hint="eastAsia"/>
        </w:rPr>
        <w:t xml:space="preserve">, comb state </w:t>
      </w:r>
      <w:r w:rsidR="00C3341F">
        <w:t>Ⅱ</w:t>
      </w:r>
      <w:r w:rsidRPr="00230794">
        <w:rPr>
          <w:rFonts w:hint="eastAsia"/>
        </w:rPr>
        <w:t xml:space="preserve"> has a high low-frequency noise. When the pump laser is further tuned into state II, an abrupt reduction of the low-frequency noise is observed, which means it enters the mode-locked region. Finally, a typical dark soliton comb spectrum with pronounced wings is obtained at state </w:t>
      </w:r>
      <w:r w:rsidR="00C3341F">
        <w:t>Ⅲ</w:t>
      </w:r>
      <w:r w:rsidRPr="00230794">
        <w:rPr>
          <w:rFonts w:hint="eastAsia"/>
        </w:rPr>
        <w:t>. When the input pump power is increased to 30 dBm, the mode-locked region is</w:t>
      </w:r>
      <w:r w:rsidRPr="00230794">
        <w:t xml:space="preserve"> extended to 6.5 GHz. Besides, we observed a breathing soliton comb at state II in Fig. </w:t>
      </w:r>
      <w:r>
        <w:t>S2D</w:t>
      </w:r>
      <w:r w:rsidRPr="00230794">
        <w:t xml:space="preserve">. As observed from </w:t>
      </w:r>
      <w:r w:rsidRPr="00230794">
        <w:lastRenderedPageBreak/>
        <w:t xml:space="preserve">the RF spectrum, there are several peaks with an equal spacing of 104 MHz which is the modulated frequency of the temporal pattern for the breathing soliton comb. However, as the input pump power is increased to 31 dBm, the mode-locked comb cannot be formed during the tuning process, and the generated frequency comb always has a high low-frequency noise, as shown in Fig. </w:t>
      </w:r>
      <w:r>
        <w:t>S2E</w:t>
      </w:r>
      <w:r w:rsidRPr="00230794">
        <w:t>. We attribute this phenomenon to the variation in AMX strength with input pump power, as the resonance shifts of the TE</w:t>
      </w:r>
      <w:r w:rsidRPr="00162C38">
        <w:rPr>
          <w:vertAlign w:val="subscript"/>
        </w:rPr>
        <w:t>0</w:t>
      </w:r>
      <w:r w:rsidRPr="00230794">
        <w:t xml:space="preserve"> and TE</w:t>
      </w:r>
      <w:r w:rsidRPr="00162C38">
        <w:rPr>
          <w:vertAlign w:val="subscript"/>
        </w:rPr>
        <w:t>1</w:t>
      </w:r>
      <w:r w:rsidRPr="00230794">
        <w:t xml:space="preserve"> modes differ due to the strong thermal effect in the high-Q microring resonator </w:t>
      </w:r>
      <w:r>
        <w:rPr>
          <w:lang w:eastAsia="zh-CN"/>
        </w:rPr>
        <w:fldChar w:fldCharType="begin"/>
      </w:r>
      <w:r>
        <w:rPr>
          <w:lang w:eastAsia="zh-CN"/>
        </w:rPr>
        <w:instrText xml:space="preserve"> ADDIN EN.CITE &lt;EndNote&gt;&lt;Cite&gt;&lt;Author&gt;Li&lt;/Author&gt;&lt;Year&gt;2022&lt;/Year&gt;&lt;RecNum&gt;310&lt;/RecNum&gt;&lt;DisplayText&gt;[5]&lt;/DisplayText&gt;&lt;record&gt;&lt;rec-number&gt;310&lt;/rec-number&gt;&lt;foreign-keys&gt;&lt;key app="EN" db-id="s0xvvtfp2zatr4ez5xqxdat4rtfxfpwps2v2" timestamp="1692691923" guid="65086840-60dd-4584-893f-9137bab377d4"&gt;310&lt;/key&gt;&lt;/foreign-keys&gt;&lt;ref-type name="Journal Article"&gt;17&lt;/ref-type&gt;&lt;contributors&gt;&lt;authors&gt;&lt;author&gt;Li, J.&lt;/author&gt;&lt;author&gt;Wan, S.&lt;/author&gt;&lt;author&gt;Peng, J. L.&lt;/author&gt;&lt;author&gt;Wang, Z. Y.&lt;/author&gt;&lt;author&gt;Niu, R.&lt;/author&gt;&lt;author&gt;Zou, C. L.&lt;/author&gt;&lt;author&gt;Guo, G. C.&lt;/author&gt;&lt;author&gt;Dong, C. H.&lt;/author&gt;&lt;/authors&gt;&lt;/contributors&gt;&lt;titles&gt;&lt;title&gt;Thermal tuning of mode crossing and the perfect soliton crystal in a Si3N4 microresonator&lt;/title&gt;&lt;secondary-title&gt;Opt Express&lt;/secondary-title&gt;&lt;/titles&gt;&lt;periodical&gt;&lt;full-title&gt;Opt Express&lt;/full-title&gt;&lt;abbr-1&gt;Opt. Express&lt;/abbr-1&gt;&lt;/periodical&gt;&lt;pages&gt;13690-13698&lt;/pages&gt;&lt;volume&gt;30&lt;/volume&gt;&lt;number&gt;8&lt;/number&gt;&lt;dates&gt;&lt;year&gt;2022&lt;/year&gt;&lt;pub-dates&gt;&lt;date&gt;Apr 11&lt;/date&gt;&lt;/pub-dates&gt;&lt;/dates&gt;&lt;isbn&gt;1094-4087 (Electronic)&amp;#xD;1094-4087 (Linking)&lt;/isbn&gt;&lt;accession-num&gt;35472976&lt;/accession-num&gt;&lt;urls&gt;&lt;related-urls&gt;&lt;url&gt;https://www.ncbi.nlm.nih.gov/pubmed/35472976&lt;/url&gt;&lt;/related-urls&gt;&lt;/urls&gt;&lt;electronic-resource-num&gt;10.1364/OE.450100&lt;/electronic-resource-num&gt;&lt;/record&gt;&lt;/Cite&gt;&lt;/EndNote&gt;</w:instrText>
      </w:r>
      <w:r>
        <w:rPr>
          <w:lang w:eastAsia="zh-CN"/>
        </w:rPr>
        <w:fldChar w:fldCharType="separate"/>
      </w:r>
      <w:r>
        <w:rPr>
          <w:noProof/>
          <w:lang w:eastAsia="zh-CN"/>
        </w:rPr>
        <w:t>[5]</w:t>
      </w:r>
      <w:r>
        <w:rPr>
          <w:lang w:eastAsia="zh-CN"/>
        </w:rPr>
        <w:fldChar w:fldCharType="end"/>
      </w:r>
      <w:r w:rsidRPr="00230794">
        <w:t>, impacting the formation of the dark soliton microcomb. Subsequent tests maintained the input power at 29 dBm.</w:t>
      </w:r>
    </w:p>
    <w:p w14:paraId="703A60F5" w14:textId="77777777" w:rsidR="00A0323A" w:rsidRDefault="00A0323A" w:rsidP="006B06B2">
      <w:pPr>
        <w:spacing w:after="240"/>
        <w:jc w:val="both"/>
        <w:rPr>
          <w:b/>
          <w:bCs/>
          <w:lang w:eastAsia="zh-CN"/>
        </w:rPr>
      </w:pPr>
      <w:r>
        <w:rPr>
          <w:b/>
          <w:bCs/>
          <w:lang w:eastAsia="zh-CN"/>
        </w:rPr>
        <w:t>S</w:t>
      </w:r>
      <w:r w:rsidRPr="002D31D0">
        <w:rPr>
          <w:b/>
          <w:bCs/>
          <w:lang w:eastAsia="zh-CN"/>
        </w:rPr>
        <w:t>tability and frequency noise of dark soliton</w:t>
      </w:r>
    </w:p>
    <w:p w14:paraId="0AA69603" w14:textId="77777777" w:rsidR="00A0323A" w:rsidRDefault="00A0323A" w:rsidP="006B06B2">
      <w:pPr>
        <w:spacing w:after="240"/>
        <w:ind w:firstLine="426"/>
        <w:jc w:val="both"/>
        <w:rPr>
          <w:lang w:eastAsia="zh-CN"/>
        </w:rPr>
      </w:pPr>
      <w:r w:rsidRPr="00576D15">
        <w:rPr>
          <w:lang w:eastAsia="zh-CN"/>
        </w:rPr>
        <w:t xml:space="preserve">We tested the long-term stability of the dark soliton microcomb. The comb can exist for more than 6 hours without any feedback due to the long mode-locked tuning region. Figure </w:t>
      </w:r>
      <w:r>
        <w:rPr>
          <w:rFonts w:hint="eastAsia"/>
          <w:lang w:eastAsia="zh-CN"/>
        </w:rPr>
        <w:t>S</w:t>
      </w:r>
      <w:r>
        <w:rPr>
          <w:lang w:eastAsia="zh-CN"/>
        </w:rPr>
        <w:t>3A</w:t>
      </w:r>
      <w:r w:rsidRPr="00576D15">
        <w:rPr>
          <w:lang w:eastAsia="zh-CN"/>
        </w:rPr>
        <w:t xml:space="preserve"> shows the recorded power variation for each comb line in the on-chip -5-dBm bandwidth over 6 hours. The maximum power variation is 0.7 dB, and most of the comb lines have a power variation of less than 0.4 dB, which shows high stability of the generated dark soliton. We also measured the single sideband (SSB) frequency noise of the comb lines. We chose the comb lines that are symmetrically located at the 12th</w:t>
      </w:r>
      <w:r>
        <w:rPr>
          <w:lang w:eastAsia="zh-CN"/>
        </w:rPr>
        <w:t xml:space="preserve"> (Ch 5,29)</w:t>
      </w:r>
      <w:r w:rsidRPr="00576D15">
        <w:rPr>
          <w:lang w:eastAsia="zh-CN"/>
        </w:rPr>
        <w:t xml:space="preserve"> and the 6</w:t>
      </w:r>
      <w:r w:rsidRPr="001E783A">
        <w:rPr>
          <w:lang w:eastAsia="zh-CN"/>
        </w:rPr>
        <w:t>th</w:t>
      </w:r>
      <w:r>
        <w:rPr>
          <w:lang w:eastAsia="zh-CN"/>
        </w:rPr>
        <w:t xml:space="preserve"> (Ch 11,23)</w:t>
      </w:r>
      <w:r w:rsidRPr="00576D15">
        <w:rPr>
          <w:lang w:eastAsia="zh-CN"/>
        </w:rPr>
        <w:t xml:space="preserve"> spacings from the pump laser</w:t>
      </w:r>
      <w:r>
        <w:rPr>
          <w:lang w:eastAsia="zh-CN"/>
        </w:rPr>
        <w:t xml:space="preserve"> (Ch 17)</w:t>
      </w:r>
      <w:r w:rsidRPr="00576D15">
        <w:rPr>
          <w:lang w:eastAsia="zh-CN"/>
        </w:rPr>
        <w:t xml:space="preserve">, and the measured frequency noises are shown in Fig. </w:t>
      </w:r>
      <w:r>
        <w:rPr>
          <w:lang w:eastAsia="zh-CN"/>
        </w:rPr>
        <w:t>S3B</w:t>
      </w:r>
      <w:r w:rsidRPr="00576D15">
        <w:rPr>
          <w:lang w:eastAsia="zh-CN"/>
        </w:rPr>
        <w:t xml:space="preserve">. These symmetrically distributed comb lines have similar noise </w:t>
      </w:r>
      <w:r>
        <w:rPr>
          <w:lang w:eastAsia="zh-CN"/>
        </w:rPr>
        <w:t>levels</w:t>
      </w:r>
      <w:r w:rsidRPr="00576D15">
        <w:rPr>
          <w:lang w:eastAsia="zh-CN"/>
        </w:rPr>
        <w:t xml:space="preserve">. Compared with the pump mode, the frequency noises of other comb lines are almost the same at the low frequency offset, but increase when the frequency offset is larger than ~ 2 kHz. The intrinsic linewidth of the comb lines increases two and four times for </w:t>
      </w:r>
      <w:r>
        <w:rPr>
          <w:lang w:eastAsia="zh-CN"/>
        </w:rPr>
        <w:t>Ch 5,29 and Ch 11,23</w:t>
      </w:r>
      <w:r w:rsidRPr="00576D15">
        <w:rPr>
          <w:lang w:eastAsia="zh-CN"/>
        </w:rPr>
        <w:t xml:space="preserve"> compared to </w:t>
      </w:r>
      <w:r>
        <w:rPr>
          <w:lang w:eastAsia="zh-CN"/>
        </w:rPr>
        <w:t>Ch 17</w:t>
      </w:r>
      <w:r w:rsidRPr="00576D15">
        <w:rPr>
          <w:lang w:eastAsia="zh-CN"/>
        </w:rPr>
        <w:t xml:space="preserve">, respectively, due to the thermal-noise-induced repetition rate instability. Nevertheless, due to the narrow linewidth of the pump laser, all the comb lines still have low-frequency noises (intrinsic linewidth ~ kHz), indicating the microcomb can work as a high-performance on-chip WDM light source for optical I/O. </w:t>
      </w:r>
    </w:p>
    <w:p w14:paraId="33D5A012" w14:textId="77777777" w:rsidR="00A0323A" w:rsidRDefault="00A0323A" w:rsidP="006B06B2">
      <w:pPr>
        <w:spacing w:after="240"/>
        <w:ind w:firstLine="1"/>
        <w:jc w:val="center"/>
      </w:pPr>
      <w:r>
        <w:rPr>
          <w:noProof/>
        </w:rPr>
        <w:drawing>
          <wp:inline distT="0" distB="0" distL="0" distR="0" wp14:anchorId="0E07D1D9" wp14:editId="5D0A1845">
            <wp:extent cx="5943600" cy="1457325"/>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457325"/>
                    </a:xfrm>
                    <a:prstGeom prst="rect">
                      <a:avLst/>
                    </a:prstGeom>
                  </pic:spPr>
                </pic:pic>
              </a:graphicData>
            </a:graphic>
          </wp:inline>
        </w:drawing>
      </w:r>
    </w:p>
    <w:p w14:paraId="256AA81C" w14:textId="77777777" w:rsidR="00A0323A" w:rsidRDefault="00A0323A" w:rsidP="006B06B2">
      <w:pPr>
        <w:spacing w:after="240"/>
        <w:ind w:firstLine="1"/>
        <w:jc w:val="both"/>
        <w:rPr>
          <w:szCs w:val="24"/>
        </w:rPr>
      </w:pPr>
      <w:r w:rsidRPr="00942017">
        <w:rPr>
          <w:b/>
          <w:bCs/>
          <w:szCs w:val="24"/>
        </w:rPr>
        <w:t xml:space="preserve">Fig. </w:t>
      </w:r>
      <w:r>
        <w:rPr>
          <w:b/>
          <w:bCs/>
          <w:szCs w:val="24"/>
        </w:rPr>
        <w:t>S3</w:t>
      </w:r>
      <w:r w:rsidRPr="00942017">
        <w:rPr>
          <w:b/>
          <w:bCs/>
          <w:szCs w:val="24"/>
        </w:rPr>
        <w:t xml:space="preserve"> </w:t>
      </w:r>
      <w:r>
        <w:rPr>
          <w:b/>
          <w:bCs/>
          <w:szCs w:val="24"/>
        </w:rPr>
        <w:t xml:space="preserve">Stability and frequency noise results. (A) </w:t>
      </w:r>
      <w:r w:rsidRPr="00871FFA">
        <w:rPr>
          <w:bCs/>
          <w:szCs w:val="24"/>
        </w:rPr>
        <w:t>Line power stability over 6 hours</w:t>
      </w:r>
      <w:r>
        <w:rPr>
          <w:b/>
          <w:bCs/>
          <w:szCs w:val="24"/>
        </w:rPr>
        <w:t xml:space="preserve">. (B) </w:t>
      </w:r>
      <w:r w:rsidRPr="00233204">
        <w:rPr>
          <w:szCs w:val="24"/>
        </w:rPr>
        <w:t xml:space="preserve">Single-sideband frequency noise of five comb lines with Ch </w:t>
      </w:r>
      <w:r>
        <w:rPr>
          <w:szCs w:val="24"/>
        </w:rPr>
        <w:t>17</w:t>
      </w:r>
      <w:r w:rsidRPr="00233204">
        <w:rPr>
          <w:szCs w:val="24"/>
        </w:rPr>
        <w:t xml:space="preserve"> corresponding to the pump mode.</w:t>
      </w:r>
      <w:r>
        <w:rPr>
          <w:szCs w:val="24"/>
        </w:rPr>
        <w:t xml:space="preserve"> </w:t>
      </w:r>
      <w:r w:rsidRPr="00233204">
        <w:rPr>
          <w:szCs w:val="24"/>
        </w:rPr>
        <w:t xml:space="preserve">It is noted that several peaks between the frequency offset from 100 kHz to 1 MHz are </w:t>
      </w:r>
      <w:r>
        <w:rPr>
          <w:szCs w:val="24"/>
        </w:rPr>
        <w:t>i</w:t>
      </w:r>
      <w:r w:rsidRPr="00233204">
        <w:rPr>
          <w:szCs w:val="24"/>
        </w:rPr>
        <w:t>ntroduced by the commercial tunable laser.</w:t>
      </w:r>
    </w:p>
    <w:p w14:paraId="07BFFE49" w14:textId="77777777" w:rsidR="00A0323A" w:rsidRDefault="00A0323A" w:rsidP="006B06B2">
      <w:pPr>
        <w:spacing w:after="240"/>
        <w:jc w:val="both"/>
        <w:rPr>
          <w:b/>
          <w:bCs/>
          <w:lang w:eastAsia="zh-CN"/>
        </w:rPr>
      </w:pPr>
      <w:r>
        <w:rPr>
          <w:b/>
          <w:bCs/>
          <w:lang w:eastAsia="zh-CN"/>
        </w:rPr>
        <w:t>MRM simulation results</w:t>
      </w:r>
    </w:p>
    <w:p w14:paraId="6B8AEE44" w14:textId="77777777" w:rsidR="00A0323A" w:rsidRDefault="00A0323A" w:rsidP="006B06B2">
      <w:pPr>
        <w:spacing w:after="240"/>
        <w:ind w:firstLine="1"/>
        <w:jc w:val="center"/>
      </w:pPr>
      <w:r>
        <w:rPr>
          <w:noProof/>
        </w:rPr>
        <w:lastRenderedPageBreak/>
        <w:drawing>
          <wp:inline distT="0" distB="0" distL="0" distR="0" wp14:anchorId="6751EFDF" wp14:editId="4D6C31ED">
            <wp:extent cx="5943600" cy="39262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26205"/>
                    </a:xfrm>
                    <a:prstGeom prst="rect">
                      <a:avLst/>
                    </a:prstGeom>
                  </pic:spPr>
                </pic:pic>
              </a:graphicData>
            </a:graphic>
          </wp:inline>
        </w:drawing>
      </w:r>
    </w:p>
    <w:p w14:paraId="4BE385F0" w14:textId="77777777" w:rsidR="00A0323A" w:rsidRDefault="00A0323A" w:rsidP="006B06B2">
      <w:pPr>
        <w:spacing w:after="100" w:afterAutospacing="1"/>
        <w:jc w:val="both"/>
        <w:rPr>
          <w:szCs w:val="24"/>
          <w:lang w:eastAsia="zh-CN"/>
        </w:rPr>
      </w:pPr>
      <w:r w:rsidRPr="00942017">
        <w:rPr>
          <w:b/>
          <w:bCs/>
          <w:szCs w:val="24"/>
        </w:rPr>
        <w:t xml:space="preserve">Fig. </w:t>
      </w:r>
      <w:r>
        <w:rPr>
          <w:b/>
          <w:bCs/>
          <w:szCs w:val="24"/>
        </w:rPr>
        <w:t>S4</w:t>
      </w:r>
      <w:r w:rsidRPr="00942017">
        <w:rPr>
          <w:b/>
          <w:bCs/>
          <w:szCs w:val="24"/>
        </w:rPr>
        <w:t xml:space="preserve"> </w:t>
      </w:r>
      <w:r>
        <w:rPr>
          <w:b/>
          <w:bCs/>
          <w:szCs w:val="24"/>
        </w:rPr>
        <w:t>MRM simulation results. (A)</w:t>
      </w:r>
      <w:r w:rsidRPr="001C6ECB">
        <w:rPr>
          <w:bCs/>
          <w:szCs w:val="24"/>
        </w:rPr>
        <w:t xml:space="preserve"> </w:t>
      </w:r>
      <w:r>
        <w:rPr>
          <w:rFonts w:hint="eastAsia"/>
          <w:bCs/>
          <w:szCs w:val="24"/>
          <w:lang w:eastAsia="zh-CN"/>
        </w:rPr>
        <w:t>E</w:t>
      </w:r>
      <w:r w:rsidRPr="001C6ECB">
        <w:rPr>
          <w:bCs/>
          <w:szCs w:val="24"/>
        </w:rPr>
        <w:t xml:space="preserve">ffective index and optical loss of the </w:t>
      </w:r>
      <w:r>
        <w:rPr>
          <w:rFonts w:hint="eastAsia"/>
          <w:bCs/>
          <w:szCs w:val="24"/>
          <w:lang w:eastAsia="zh-CN"/>
        </w:rPr>
        <w:t>micro</w:t>
      </w:r>
      <w:r>
        <w:rPr>
          <w:bCs/>
          <w:szCs w:val="24"/>
          <w:lang w:eastAsia="zh-CN"/>
        </w:rPr>
        <w:t>ring waveguide</w:t>
      </w:r>
      <w:r w:rsidRPr="001C6ECB">
        <w:rPr>
          <w:bCs/>
          <w:szCs w:val="24"/>
        </w:rPr>
        <w:t xml:space="preserve"> at various bias voltage</w:t>
      </w:r>
      <w:r>
        <w:rPr>
          <w:bCs/>
          <w:szCs w:val="24"/>
        </w:rPr>
        <w:t>s</w:t>
      </w:r>
      <w:r w:rsidRPr="001C6ECB">
        <w:rPr>
          <w:bCs/>
          <w:szCs w:val="24"/>
        </w:rPr>
        <w:t>.</w:t>
      </w:r>
      <w:r w:rsidRPr="00B96961">
        <w:rPr>
          <w:b/>
          <w:bCs/>
          <w:szCs w:val="24"/>
        </w:rPr>
        <w:t xml:space="preserve"> </w:t>
      </w:r>
      <w:r w:rsidRPr="001C6ECB">
        <w:rPr>
          <w:b/>
          <w:bCs/>
          <w:szCs w:val="24"/>
        </w:rPr>
        <w:t>(B)</w:t>
      </w:r>
      <w:r>
        <w:rPr>
          <w:bCs/>
          <w:szCs w:val="24"/>
        </w:rPr>
        <w:t xml:space="preserve"> PN junction capacitance of the MRM. </w:t>
      </w:r>
      <w:r>
        <w:rPr>
          <w:b/>
          <w:bCs/>
          <w:szCs w:val="24"/>
        </w:rPr>
        <w:t>(</w:t>
      </w:r>
      <w:r>
        <w:rPr>
          <w:rFonts w:hint="eastAsia"/>
          <w:b/>
          <w:bCs/>
          <w:szCs w:val="24"/>
          <w:lang w:eastAsia="zh-CN"/>
        </w:rPr>
        <w:t>C</w:t>
      </w:r>
      <w:r>
        <w:rPr>
          <w:b/>
          <w:bCs/>
          <w:szCs w:val="24"/>
        </w:rPr>
        <w:t xml:space="preserve">) </w:t>
      </w:r>
      <w:r w:rsidRPr="004B53B4">
        <w:rPr>
          <w:bCs/>
          <w:szCs w:val="24"/>
        </w:rPr>
        <w:t>MRM spectr</w:t>
      </w:r>
      <w:r>
        <w:rPr>
          <w:rFonts w:hint="eastAsia"/>
          <w:bCs/>
          <w:szCs w:val="24"/>
          <w:lang w:eastAsia="zh-CN"/>
        </w:rPr>
        <w:t>a</w:t>
      </w:r>
      <w:r w:rsidRPr="004B53B4">
        <w:rPr>
          <w:bCs/>
          <w:szCs w:val="24"/>
        </w:rPr>
        <w:t xml:space="preserve"> at various bias voltage</w:t>
      </w:r>
      <w:r>
        <w:rPr>
          <w:bCs/>
          <w:szCs w:val="24"/>
        </w:rPr>
        <w:t>s.</w:t>
      </w:r>
      <w:r w:rsidRPr="004B53B4">
        <w:rPr>
          <w:bCs/>
          <w:szCs w:val="24"/>
        </w:rPr>
        <w:t xml:space="preserve"> </w:t>
      </w:r>
      <w:r>
        <w:rPr>
          <w:b/>
          <w:bCs/>
          <w:szCs w:val="24"/>
        </w:rPr>
        <w:t xml:space="preserve">(D) </w:t>
      </w:r>
      <w:r>
        <w:rPr>
          <w:rFonts w:hint="eastAsia"/>
          <w:szCs w:val="24"/>
          <w:lang w:eastAsia="zh-CN"/>
        </w:rPr>
        <w:t>N</w:t>
      </w:r>
      <w:r>
        <w:rPr>
          <w:szCs w:val="24"/>
        </w:rPr>
        <w:t xml:space="preserve">ormalized MRM EO responses at the -3 dB and -6 dB operating points </w:t>
      </w:r>
      <w:r>
        <w:rPr>
          <w:szCs w:val="24"/>
          <w:lang w:eastAsia="zh-CN"/>
        </w:rPr>
        <w:t>upon</w:t>
      </w:r>
      <w:r>
        <w:rPr>
          <w:szCs w:val="24"/>
        </w:rPr>
        <w:t xml:space="preserve"> -3 V bias</w:t>
      </w:r>
      <w:r>
        <w:rPr>
          <w:rFonts w:ascii="宋体" w:eastAsia="宋体" w:hAnsi="宋体" w:cs="宋体" w:hint="eastAsia"/>
          <w:szCs w:val="24"/>
          <w:lang w:eastAsia="zh-CN"/>
        </w:rPr>
        <w:t>.</w:t>
      </w:r>
    </w:p>
    <w:p w14:paraId="72961CEE" w14:textId="77777777" w:rsidR="00A0323A" w:rsidRPr="001C6ECB" w:rsidRDefault="00A0323A" w:rsidP="006B06B2">
      <w:pPr>
        <w:spacing w:after="100" w:afterAutospacing="1"/>
        <w:ind w:firstLine="567"/>
        <w:jc w:val="both"/>
        <w:rPr>
          <w:szCs w:val="24"/>
          <w:lang w:eastAsia="zh-CN"/>
        </w:rPr>
      </w:pPr>
      <w:r w:rsidRPr="007D325A">
        <w:rPr>
          <w:szCs w:val="24"/>
          <w:lang w:eastAsia="zh-CN"/>
        </w:rPr>
        <w:t xml:space="preserve">The </w:t>
      </w:r>
      <w:r>
        <w:rPr>
          <w:szCs w:val="24"/>
          <w:lang w:eastAsia="zh-CN"/>
        </w:rPr>
        <w:t>P</w:t>
      </w:r>
      <w:r w:rsidRPr="007D325A">
        <w:rPr>
          <w:szCs w:val="24"/>
          <w:lang w:eastAsia="zh-CN"/>
        </w:rPr>
        <w:t xml:space="preserve">-type and </w:t>
      </w:r>
      <w:r>
        <w:rPr>
          <w:szCs w:val="24"/>
          <w:lang w:eastAsia="zh-CN"/>
        </w:rPr>
        <w:t>N</w:t>
      </w:r>
      <w:r w:rsidRPr="007D325A">
        <w:rPr>
          <w:szCs w:val="24"/>
          <w:lang w:eastAsia="zh-CN"/>
        </w:rPr>
        <w:t>-type</w:t>
      </w:r>
      <w:r>
        <w:rPr>
          <w:rFonts w:hint="eastAsia"/>
          <w:szCs w:val="24"/>
          <w:lang w:eastAsia="zh-CN"/>
        </w:rPr>
        <w:t xml:space="preserve"> light</w:t>
      </w:r>
      <w:r>
        <w:rPr>
          <w:szCs w:val="24"/>
          <w:lang w:eastAsia="zh-CN"/>
        </w:rPr>
        <w:t xml:space="preserve"> </w:t>
      </w:r>
      <w:r w:rsidRPr="007D325A">
        <w:rPr>
          <w:szCs w:val="24"/>
          <w:lang w:eastAsia="zh-CN"/>
        </w:rPr>
        <w:t>doping concentrations for the embedded PN junction in the microring waveguide are 2</w:t>
      </w:r>
      <w:r>
        <w:rPr>
          <w:rFonts w:ascii="宋体" w:eastAsia="宋体" w:hAnsi="宋体" w:hint="eastAsia"/>
          <w:szCs w:val="24"/>
          <w:lang w:eastAsia="zh-CN"/>
        </w:rPr>
        <w:t>×</w:t>
      </w:r>
      <w:r>
        <w:rPr>
          <w:szCs w:val="24"/>
          <w:lang w:eastAsia="zh-CN"/>
        </w:rPr>
        <w:t>10</w:t>
      </w:r>
      <w:r w:rsidRPr="001C6ECB">
        <w:rPr>
          <w:szCs w:val="24"/>
          <w:vertAlign w:val="superscript"/>
          <w:lang w:eastAsia="zh-CN"/>
        </w:rPr>
        <w:t>18</w:t>
      </w:r>
      <w:r w:rsidRPr="007D325A">
        <w:rPr>
          <w:szCs w:val="24"/>
          <w:lang w:eastAsia="zh-CN"/>
        </w:rPr>
        <w:t xml:space="preserve"> cm</w:t>
      </w:r>
      <w:r w:rsidRPr="001C6ECB">
        <w:rPr>
          <w:szCs w:val="24"/>
          <w:vertAlign w:val="superscript"/>
          <w:lang w:eastAsia="zh-CN"/>
        </w:rPr>
        <w:t>-3</w:t>
      </w:r>
      <w:r w:rsidRPr="007D325A">
        <w:rPr>
          <w:szCs w:val="24"/>
          <w:lang w:eastAsia="zh-CN"/>
        </w:rPr>
        <w:t xml:space="preserve">. Utilizing Lumerical simulation, we </w:t>
      </w:r>
      <w:r>
        <w:rPr>
          <w:szCs w:val="24"/>
          <w:lang w:eastAsia="zh-CN"/>
        </w:rPr>
        <w:t>obtained</w:t>
      </w:r>
      <w:r w:rsidRPr="007D325A">
        <w:rPr>
          <w:szCs w:val="24"/>
          <w:lang w:eastAsia="zh-CN"/>
        </w:rPr>
        <w:t xml:space="preserve"> the effective index and optical loss of the microring waveguide </w:t>
      </w:r>
      <w:r>
        <w:rPr>
          <w:szCs w:val="24"/>
          <w:lang w:eastAsia="zh-CN"/>
        </w:rPr>
        <w:t>at various</w:t>
      </w:r>
      <w:r w:rsidRPr="007D325A">
        <w:rPr>
          <w:szCs w:val="24"/>
          <w:lang w:eastAsia="zh-CN"/>
        </w:rPr>
        <w:t xml:space="preserve"> bias voltage</w:t>
      </w:r>
      <w:r>
        <w:rPr>
          <w:szCs w:val="24"/>
          <w:lang w:eastAsia="zh-CN"/>
        </w:rPr>
        <w:t>s</w:t>
      </w:r>
      <w:r w:rsidRPr="007D325A">
        <w:rPr>
          <w:szCs w:val="24"/>
          <w:lang w:eastAsia="zh-CN"/>
        </w:rPr>
        <w:t>, as depicted in Fig</w:t>
      </w:r>
      <w:r>
        <w:rPr>
          <w:szCs w:val="24"/>
          <w:lang w:eastAsia="zh-CN"/>
        </w:rPr>
        <w:t>.</w:t>
      </w:r>
      <w:r w:rsidRPr="007D325A">
        <w:rPr>
          <w:szCs w:val="24"/>
          <w:lang w:eastAsia="zh-CN"/>
        </w:rPr>
        <w:t xml:space="preserve"> </w:t>
      </w:r>
      <w:r>
        <w:rPr>
          <w:rFonts w:hint="eastAsia"/>
          <w:szCs w:val="24"/>
          <w:lang w:eastAsia="zh-CN"/>
        </w:rPr>
        <w:t>S</w:t>
      </w:r>
      <w:r>
        <w:rPr>
          <w:szCs w:val="24"/>
          <w:lang w:eastAsia="zh-CN"/>
        </w:rPr>
        <w:t>4</w:t>
      </w:r>
      <w:r w:rsidRPr="007D325A">
        <w:rPr>
          <w:szCs w:val="24"/>
          <w:lang w:eastAsia="zh-CN"/>
        </w:rPr>
        <w:t xml:space="preserve">A. </w:t>
      </w:r>
      <w:r>
        <w:rPr>
          <w:rFonts w:hint="eastAsia"/>
          <w:szCs w:val="24"/>
          <w:lang w:eastAsia="zh-CN"/>
        </w:rPr>
        <w:t>When</w:t>
      </w:r>
      <w:r>
        <w:rPr>
          <w:szCs w:val="24"/>
          <w:lang w:eastAsia="zh-CN"/>
        </w:rPr>
        <w:t xml:space="preserve"> </w:t>
      </w:r>
      <w:r>
        <w:rPr>
          <w:rFonts w:hint="eastAsia"/>
          <w:szCs w:val="24"/>
          <w:lang w:eastAsia="zh-CN"/>
        </w:rPr>
        <w:t>the</w:t>
      </w:r>
      <w:r w:rsidRPr="00BC2BBB">
        <w:rPr>
          <w:szCs w:val="24"/>
          <w:lang w:eastAsia="zh-CN"/>
        </w:rPr>
        <w:t xml:space="preserve"> bias</w:t>
      </w:r>
      <w:r>
        <w:rPr>
          <w:szCs w:val="24"/>
          <w:lang w:eastAsia="zh-CN"/>
        </w:rPr>
        <w:t xml:space="preserve"> voltage changes from 0 V to -5 V</w:t>
      </w:r>
      <w:r w:rsidRPr="00BC2BBB">
        <w:rPr>
          <w:szCs w:val="24"/>
          <w:lang w:eastAsia="zh-CN"/>
        </w:rPr>
        <w:t>, the waveguide's effective index rises while its optical loss declines.</w:t>
      </w:r>
      <w:r>
        <w:rPr>
          <w:szCs w:val="24"/>
          <w:lang w:eastAsia="zh-CN"/>
        </w:rPr>
        <w:t xml:space="preserve"> </w:t>
      </w:r>
      <w:r w:rsidRPr="007D325A">
        <w:rPr>
          <w:szCs w:val="24"/>
          <w:lang w:eastAsia="zh-CN"/>
        </w:rPr>
        <w:t>The MRM radius is 8 µm</w:t>
      </w:r>
      <w:r>
        <w:rPr>
          <w:szCs w:val="24"/>
          <w:lang w:eastAsia="zh-CN"/>
        </w:rPr>
        <w:t>.</w:t>
      </w:r>
      <w:r w:rsidRPr="007D325A">
        <w:rPr>
          <w:szCs w:val="24"/>
          <w:lang w:eastAsia="zh-CN"/>
        </w:rPr>
        <w:t xml:space="preserve"> </w:t>
      </w:r>
      <w:r>
        <w:rPr>
          <w:szCs w:val="24"/>
          <w:lang w:eastAsia="zh-CN"/>
        </w:rPr>
        <w:t>Fig. S4B shows</w:t>
      </w:r>
      <w:r w:rsidRPr="007D325A">
        <w:rPr>
          <w:szCs w:val="24"/>
          <w:lang w:eastAsia="zh-CN"/>
        </w:rPr>
        <w:t xml:space="preserve"> the PN junction capacitance</w:t>
      </w:r>
      <w:r>
        <w:rPr>
          <w:szCs w:val="24"/>
          <w:lang w:eastAsia="zh-CN"/>
        </w:rPr>
        <w:t xml:space="preserve"> under</w:t>
      </w:r>
      <w:r w:rsidRPr="007D325A">
        <w:rPr>
          <w:szCs w:val="24"/>
          <w:lang w:eastAsia="zh-CN"/>
        </w:rPr>
        <w:t xml:space="preserve"> var</w:t>
      </w:r>
      <w:r>
        <w:rPr>
          <w:szCs w:val="24"/>
          <w:lang w:eastAsia="zh-CN"/>
        </w:rPr>
        <w:t xml:space="preserve">ious </w:t>
      </w:r>
      <w:r w:rsidRPr="007D325A">
        <w:rPr>
          <w:szCs w:val="24"/>
          <w:lang w:eastAsia="zh-CN"/>
        </w:rPr>
        <w:t xml:space="preserve">bias voltages. The junction capacitance of the MRM </w:t>
      </w:r>
      <w:r>
        <w:rPr>
          <w:szCs w:val="24"/>
          <w:lang w:eastAsia="zh-CN"/>
        </w:rPr>
        <w:t xml:space="preserve">gradually reduces </w:t>
      </w:r>
      <w:r w:rsidRPr="007D325A">
        <w:rPr>
          <w:szCs w:val="24"/>
          <w:lang w:eastAsia="zh-CN"/>
        </w:rPr>
        <w:t xml:space="preserve">with </w:t>
      </w:r>
      <w:r>
        <w:rPr>
          <w:szCs w:val="24"/>
          <w:lang w:eastAsia="zh-CN"/>
        </w:rPr>
        <w:t xml:space="preserve">the </w:t>
      </w:r>
      <w:r w:rsidRPr="007D325A">
        <w:rPr>
          <w:szCs w:val="24"/>
          <w:lang w:eastAsia="zh-CN"/>
        </w:rPr>
        <w:t>increas</w:t>
      </w:r>
      <w:r>
        <w:rPr>
          <w:szCs w:val="24"/>
          <w:lang w:eastAsia="zh-CN"/>
        </w:rPr>
        <w:t>e</w:t>
      </w:r>
      <w:r w:rsidRPr="007D325A">
        <w:rPr>
          <w:szCs w:val="24"/>
          <w:lang w:eastAsia="zh-CN"/>
        </w:rPr>
        <w:t xml:space="preserve"> </w:t>
      </w:r>
      <w:r>
        <w:rPr>
          <w:szCs w:val="24"/>
          <w:lang w:eastAsia="zh-CN"/>
        </w:rPr>
        <w:t xml:space="preserve">of the reverse </w:t>
      </w:r>
      <w:r w:rsidRPr="007D325A">
        <w:rPr>
          <w:szCs w:val="24"/>
          <w:lang w:eastAsia="zh-CN"/>
        </w:rPr>
        <w:t xml:space="preserve">bias voltage, </w:t>
      </w:r>
      <w:r>
        <w:rPr>
          <w:szCs w:val="24"/>
          <w:lang w:eastAsia="zh-CN"/>
        </w:rPr>
        <w:t xml:space="preserve">reaching </w:t>
      </w:r>
      <w:r w:rsidRPr="007D325A">
        <w:rPr>
          <w:szCs w:val="24"/>
          <w:lang w:eastAsia="zh-CN"/>
        </w:rPr>
        <w:t>21.36 fF at</w:t>
      </w:r>
      <w:r>
        <w:rPr>
          <w:szCs w:val="24"/>
          <w:lang w:eastAsia="zh-CN"/>
        </w:rPr>
        <w:t xml:space="preserve"> </w:t>
      </w:r>
      <w:r w:rsidRPr="007D325A">
        <w:rPr>
          <w:szCs w:val="24"/>
          <w:lang w:eastAsia="zh-CN"/>
        </w:rPr>
        <w:t>-3</w:t>
      </w:r>
      <w:r>
        <w:rPr>
          <w:szCs w:val="24"/>
          <w:lang w:eastAsia="zh-CN"/>
        </w:rPr>
        <w:t xml:space="preserve"> </w:t>
      </w:r>
      <w:r w:rsidRPr="007D325A">
        <w:rPr>
          <w:szCs w:val="24"/>
          <w:lang w:eastAsia="zh-CN"/>
        </w:rPr>
        <w:t xml:space="preserve">V. The simulated junction resistance is 54.62 </w:t>
      </w:r>
      <w:r>
        <w:rPr>
          <w:szCs w:val="24"/>
          <w:lang w:eastAsia="zh-CN"/>
        </w:rPr>
        <w:t>Ω</w:t>
      </w:r>
      <w:r w:rsidRPr="007D325A">
        <w:rPr>
          <w:szCs w:val="24"/>
          <w:lang w:eastAsia="zh-CN"/>
        </w:rPr>
        <w:t xml:space="preserve">, </w:t>
      </w:r>
      <w:r w:rsidRPr="00E06C5B">
        <w:rPr>
          <w:szCs w:val="24"/>
          <w:lang w:eastAsia="zh-CN"/>
        </w:rPr>
        <w:t xml:space="preserve">which corresponds to an intrinsic </w:t>
      </w:r>
      <w:r w:rsidRPr="007D325A">
        <w:rPr>
          <w:szCs w:val="24"/>
          <w:lang w:eastAsia="zh-CN"/>
        </w:rPr>
        <w:t>electrical bandwidth of 273 GHz</w:t>
      </w:r>
      <w:r>
        <w:rPr>
          <w:szCs w:val="24"/>
          <w:lang w:eastAsia="zh-CN"/>
        </w:rPr>
        <w:t xml:space="preserve"> </w:t>
      </w:r>
      <w:r>
        <w:rPr>
          <w:rFonts w:hint="eastAsia"/>
          <w:szCs w:val="24"/>
          <w:lang w:eastAsia="zh-CN"/>
        </w:rPr>
        <w:t>at</w:t>
      </w:r>
      <w:r>
        <w:rPr>
          <w:szCs w:val="24"/>
          <w:lang w:eastAsia="zh-CN"/>
        </w:rPr>
        <w:t xml:space="preserve"> -3 V bias for the</w:t>
      </w:r>
      <w:r w:rsidRPr="007D325A">
        <w:rPr>
          <w:szCs w:val="24"/>
          <w:lang w:eastAsia="zh-CN"/>
        </w:rPr>
        <w:t xml:space="preserve"> MR</w:t>
      </w:r>
      <w:r>
        <w:rPr>
          <w:szCs w:val="24"/>
          <w:lang w:eastAsia="zh-CN"/>
        </w:rPr>
        <w:t>M</w:t>
      </w:r>
      <w:r w:rsidRPr="007D325A">
        <w:rPr>
          <w:szCs w:val="24"/>
          <w:lang w:eastAsia="zh-CN"/>
        </w:rPr>
        <w:t>.</w:t>
      </w:r>
      <w:r>
        <w:rPr>
          <w:szCs w:val="24"/>
          <w:lang w:eastAsia="zh-CN"/>
        </w:rPr>
        <w:t xml:space="preserve"> </w:t>
      </w:r>
      <w:r w:rsidRPr="00F82E77">
        <w:rPr>
          <w:szCs w:val="24"/>
          <w:lang w:eastAsia="zh-CN"/>
        </w:rPr>
        <w:t xml:space="preserve">The </w:t>
      </w:r>
      <w:r>
        <w:rPr>
          <w:szCs w:val="24"/>
          <w:lang w:eastAsia="zh-CN"/>
        </w:rPr>
        <w:t>gap</w:t>
      </w:r>
      <w:r w:rsidRPr="00F82E77">
        <w:rPr>
          <w:szCs w:val="24"/>
          <w:lang w:eastAsia="zh-CN"/>
        </w:rPr>
        <w:t xml:space="preserve"> between the microring and the</w:t>
      </w:r>
      <w:r>
        <w:rPr>
          <w:szCs w:val="24"/>
          <w:lang w:eastAsia="zh-CN"/>
        </w:rPr>
        <w:t xml:space="preserve"> bus</w:t>
      </w:r>
      <w:r w:rsidRPr="00F82E77">
        <w:rPr>
          <w:szCs w:val="24"/>
          <w:lang w:eastAsia="zh-CN"/>
        </w:rPr>
        <w:t xml:space="preserve"> waveguide is 250 nm and the length of the coupling region is 1.8 </w:t>
      </w:r>
      <w:r w:rsidRPr="00F82E77">
        <w:rPr>
          <w:rFonts w:hint="eastAsia"/>
          <w:szCs w:val="24"/>
          <w:lang w:eastAsia="zh-CN"/>
        </w:rPr>
        <w:t>µ</w:t>
      </w:r>
      <w:r w:rsidRPr="00F82E77">
        <w:rPr>
          <w:szCs w:val="24"/>
          <w:lang w:eastAsia="zh-CN"/>
        </w:rPr>
        <w:t>m, combining</w:t>
      </w:r>
      <w:r>
        <w:rPr>
          <w:szCs w:val="24"/>
          <w:lang w:eastAsia="zh-CN"/>
        </w:rPr>
        <w:t xml:space="preserve"> the simulated</w:t>
      </w:r>
      <w:r w:rsidRPr="00F82E77">
        <w:rPr>
          <w:szCs w:val="24"/>
          <w:lang w:eastAsia="zh-CN"/>
        </w:rPr>
        <w:t xml:space="preserve"> effective index </w:t>
      </w:r>
      <w:r>
        <w:rPr>
          <w:szCs w:val="24"/>
          <w:lang w:eastAsia="zh-CN"/>
        </w:rPr>
        <w:t xml:space="preserve">and optical loss </w:t>
      </w:r>
      <w:r w:rsidRPr="00F82E77">
        <w:rPr>
          <w:szCs w:val="24"/>
          <w:lang w:eastAsia="zh-CN"/>
        </w:rPr>
        <w:t xml:space="preserve">of </w:t>
      </w:r>
      <w:r>
        <w:rPr>
          <w:szCs w:val="24"/>
          <w:lang w:eastAsia="zh-CN"/>
        </w:rPr>
        <w:t>the optical</w:t>
      </w:r>
      <w:r w:rsidRPr="00F82E77">
        <w:rPr>
          <w:szCs w:val="24"/>
          <w:lang w:eastAsia="zh-CN"/>
        </w:rPr>
        <w:t xml:space="preserve"> waveguide</w:t>
      </w:r>
      <w:r>
        <w:rPr>
          <w:rFonts w:hint="eastAsia"/>
          <w:szCs w:val="24"/>
          <w:lang w:eastAsia="zh-CN"/>
        </w:rPr>
        <w:t>,</w:t>
      </w:r>
      <w:r>
        <w:rPr>
          <w:szCs w:val="24"/>
          <w:lang w:eastAsia="zh-CN"/>
        </w:rPr>
        <w:t xml:space="preserve"> w</w:t>
      </w:r>
      <w:r w:rsidRPr="007D325A">
        <w:rPr>
          <w:szCs w:val="24"/>
          <w:lang w:eastAsia="zh-CN"/>
        </w:rPr>
        <w:t xml:space="preserve">e derived the </w:t>
      </w:r>
      <w:r>
        <w:rPr>
          <w:szCs w:val="24"/>
          <w:lang w:eastAsia="zh-CN"/>
        </w:rPr>
        <w:t>transmission spectr</w:t>
      </w:r>
      <w:r>
        <w:rPr>
          <w:rFonts w:hint="eastAsia"/>
          <w:szCs w:val="24"/>
          <w:lang w:eastAsia="zh-CN"/>
        </w:rPr>
        <w:t>a</w:t>
      </w:r>
      <w:r w:rsidRPr="007D325A">
        <w:rPr>
          <w:szCs w:val="24"/>
          <w:lang w:eastAsia="zh-CN"/>
        </w:rPr>
        <w:t xml:space="preserve"> of the MRM under </w:t>
      </w:r>
      <w:r>
        <w:rPr>
          <w:szCs w:val="24"/>
          <w:lang w:eastAsia="zh-CN"/>
        </w:rPr>
        <w:t>various</w:t>
      </w:r>
      <w:r w:rsidRPr="007D325A">
        <w:rPr>
          <w:szCs w:val="24"/>
          <w:lang w:eastAsia="zh-CN"/>
        </w:rPr>
        <w:t xml:space="preserve"> bias voltages, as illustrated in Fig</w:t>
      </w:r>
      <w:r>
        <w:rPr>
          <w:szCs w:val="24"/>
          <w:lang w:eastAsia="zh-CN"/>
        </w:rPr>
        <w:t>. S4</w:t>
      </w:r>
      <w:r w:rsidRPr="007D325A">
        <w:rPr>
          <w:szCs w:val="24"/>
          <w:lang w:eastAsia="zh-CN"/>
        </w:rPr>
        <w:t>C. As the bias voltage</w:t>
      </w:r>
      <w:r>
        <w:rPr>
          <w:szCs w:val="24"/>
          <w:lang w:eastAsia="zh-CN"/>
        </w:rPr>
        <w:t xml:space="preserve"> varies</w:t>
      </w:r>
      <w:r w:rsidRPr="007D325A">
        <w:rPr>
          <w:szCs w:val="24"/>
          <w:lang w:eastAsia="zh-CN"/>
        </w:rPr>
        <w:t xml:space="preserve"> from 0 V to -5 V, the resonance wavelength </w:t>
      </w:r>
      <w:r>
        <w:rPr>
          <w:szCs w:val="24"/>
          <w:lang w:eastAsia="zh-CN"/>
        </w:rPr>
        <w:t>redshifts</w:t>
      </w:r>
      <w:r w:rsidRPr="007D325A">
        <w:rPr>
          <w:szCs w:val="24"/>
          <w:lang w:eastAsia="zh-CN"/>
        </w:rPr>
        <w:t xml:space="preserve"> 160 pm, corresponding to a modulation efficiency of 32 pm/V. At </w:t>
      </w:r>
      <w:r>
        <w:rPr>
          <w:szCs w:val="24"/>
          <w:lang w:eastAsia="zh-CN"/>
        </w:rPr>
        <w:t xml:space="preserve">the </w:t>
      </w:r>
      <w:r w:rsidRPr="007D325A">
        <w:rPr>
          <w:szCs w:val="24"/>
          <w:lang w:eastAsia="zh-CN"/>
        </w:rPr>
        <w:t>0 V</w:t>
      </w:r>
      <w:r>
        <w:rPr>
          <w:szCs w:val="24"/>
          <w:lang w:eastAsia="zh-CN"/>
        </w:rPr>
        <w:t xml:space="preserve"> bias</w:t>
      </w:r>
      <w:r w:rsidRPr="007D325A">
        <w:rPr>
          <w:szCs w:val="24"/>
          <w:lang w:eastAsia="zh-CN"/>
        </w:rPr>
        <w:t>, the MRM exhibits a quality factor (Q</w:t>
      </w:r>
      <w:r>
        <w:rPr>
          <w:szCs w:val="24"/>
          <w:lang w:eastAsia="zh-CN"/>
        </w:rPr>
        <w:t>-factor</w:t>
      </w:r>
      <w:r w:rsidRPr="007D325A">
        <w:rPr>
          <w:szCs w:val="24"/>
          <w:lang w:eastAsia="zh-CN"/>
        </w:rPr>
        <w:t xml:space="preserve">) of </w:t>
      </w:r>
      <w:r>
        <w:rPr>
          <w:szCs w:val="24"/>
          <w:lang w:eastAsia="zh-CN"/>
        </w:rPr>
        <w:t>~</w:t>
      </w:r>
      <w:r w:rsidRPr="007D325A">
        <w:rPr>
          <w:szCs w:val="24"/>
          <w:lang w:eastAsia="zh-CN"/>
        </w:rPr>
        <w:t xml:space="preserve"> 4000, </w:t>
      </w:r>
      <w:r>
        <w:rPr>
          <w:szCs w:val="24"/>
          <w:lang w:eastAsia="zh-CN"/>
        </w:rPr>
        <w:t xml:space="preserve">corresponding </w:t>
      </w:r>
      <w:r w:rsidRPr="007D325A">
        <w:rPr>
          <w:szCs w:val="24"/>
          <w:lang w:eastAsia="zh-CN"/>
        </w:rPr>
        <w:t>to an optical bandwidth of 48 GHz</w:t>
      </w:r>
      <w:r>
        <w:rPr>
          <w:szCs w:val="24"/>
          <w:lang w:eastAsia="zh-CN"/>
        </w:rPr>
        <w:t>.</w:t>
      </w:r>
      <w:r w:rsidRPr="007D325A">
        <w:rPr>
          <w:szCs w:val="24"/>
          <w:lang w:eastAsia="zh-CN"/>
        </w:rPr>
        <w:t xml:space="preserve"> </w:t>
      </w:r>
      <w:r>
        <w:rPr>
          <w:szCs w:val="24"/>
          <w:lang w:eastAsia="zh-CN"/>
        </w:rPr>
        <w:t>T</w:t>
      </w:r>
      <w:r w:rsidRPr="007D325A">
        <w:rPr>
          <w:szCs w:val="24"/>
          <w:lang w:eastAsia="zh-CN"/>
        </w:rPr>
        <w:t>he</w:t>
      </w:r>
      <w:r>
        <w:rPr>
          <w:szCs w:val="24"/>
          <w:lang w:eastAsia="zh-CN"/>
        </w:rPr>
        <w:t xml:space="preserve"> </w:t>
      </w:r>
      <w:r w:rsidRPr="007D325A">
        <w:rPr>
          <w:szCs w:val="24"/>
          <w:lang w:eastAsia="zh-CN"/>
        </w:rPr>
        <w:t>electro-optic</w:t>
      </w:r>
      <w:r>
        <w:rPr>
          <w:szCs w:val="24"/>
          <w:lang w:eastAsia="zh-CN"/>
        </w:rPr>
        <w:t xml:space="preserve"> (EO)</w:t>
      </w:r>
      <w:r w:rsidRPr="007D325A">
        <w:rPr>
          <w:szCs w:val="24"/>
          <w:lang w:eastAsia="zh-CN"/>
        </w:rPr>
        <w:t xml:space="preserve"> bandwidth </w:t>
      </w:r>
      <w:r>
        <w:rPr>
          <w:szCs w:val="24"/>
          <w:lang w:eastAsia="zh-CN"/>
        </w:rPr>
        <w:t>of the MRM</w:t>
      </w:r>
      <w:r w:rsidRPr="007D325A">
        <w:rPr>
          <w:szCs w:val="24"/>
          <w:lang w:eastAsia="zh-CN"/>
        </w:rPr>
        <w:t xml:space="preserve"> is </w:t>
      </w:r>
      <w:r>
        <w:rPr>
          <w:szCs w:val="24"/>
          <w:lang w:eastAsia="zh-CN"/>
        </w:rPr>
        <w:t xml:space="preserve">thus </w:t>
      </w:r>
      <w:r w:rsidRPr="007D325A">
        <w:rPr>
          <w:szCs w:val="24"/>
          <w:lang w:eastAsia="zh-CN"/>
        </w:rPr>
        <w:t xml:space="preserve">predominantly </w:t>
      </w:r>
      <w:r>
        <w:rPr>
          <w:szCs w:val="24"/>
          <w:lang w:eastAsia="zh-CN"/>
        </w:rPr>
        <w:t xml:space="preserve">limited </w:t>
      </w:r>
      <w:r w:rsidRPr="007D325A">
        <w:rPr>
          <w:szCs w:val="24"/>
          <w:lang w:eastAsia="zh-CN"/>
        </w:rPr>
        <w:t>by the optical bandwidth.</w:t>
      </w:r>
      <w:r>
        <w:rPr>
          <w:szCs w:val="24"/>
          <w:lang w:eastAsia="zh-CN"/>
        </w:rPr>
        <w:t xml:space="preserve"> W</w:t>
      </w:r>
      <w:r w:rsidRPr="007D325A">
        <w:rPr>
          <w:szCs w:val="24"/>
          <w:lang w:eastAsia="zh-CN"/>
        </w:rPr>
        <w:t xml:space="preserve">e simulated the </w:t>
      </w:r>
      <w:r>
        <w:rPr>
          <w:szCs w:val="24"/>
          <w:lang w:eastAsia="zh-CN"/>
        </w:rPr>
        <w:t>EO</w:t>
      </w:r>
      <w:r w:rsidRPr="007D325A">
        <w:rPr>
          <w:szCs w:val="24"/>
          <w:lang w:eastAsia="zh-CN"/>
        </w:rPr>
        <w:t xml:space="preserve"> response of the designed MRM</w:t>
      </w:r>
      <w:r>
        <w:rPr>
          <w:szCs w:val="24"/>
          <w:lang w:eastAsia="zh-CN"/>
        </w:rPr>
        <w:t xml:space="preserve"> according to the analytical model in </w:t>
      </w:r>
      <w:r>
        <w:rPr>
          <w:szCs w:val="24"/>
          <w:lang w:eastAsia="zh-CN"/>
        </w:rPr>
        <w:fldChar w:fldCharType="begin"/>
      </w:r>
      <w:r>
        <w:rPr>
          <w:szCs w:val="24"/>
          <w:lang w:eastAsia="zh-CN"/>
        </w:rPr>
        <w:instrText xml:space="preserve"> ADDIN EN.CITE &lt;EndNote&gt;&lt;Cite&gt;&lt;Author&gt;Yu&lt;/Author&gt;&lt;Year&gt;2014&lt;/Year&gt;&lt;RecNum&gt;266&lt;/RecNum&gt;&lt;DisplayText&gt;[6]&lt;/DisplayText&gt;&lt;record&gt;&lt;rec-number&gt;266&lt;/rec-number&gt;&lt;foreign-keys&gt;&lt;key app="EN" db-id="dfx999fx3t5p9ferpfrxtrw2dt9p2sasfspr" timestamp="1629677672" guid="6cc04c6b-fe83-4a14-a53f-f5822f915e45"&gt;266&lt;/key&gt;&lt;key app="ENWeb" db-id=""&gt;0&lt;/key&gt;&lt;/foreign-keys&gt;&lt;ref-type name="Journal Article"&gt;17&lt;/ref-type&gt;&lt;contributors&gt;&lt;authors&gt;&lt;author&gt;Yu, H.&lt;/author&gt;&lt;author&gt;Ying, D.&lt;/author&gt;&lt;author&gt;Pantouvaki, M.&lt;/author&gt;&lt;author&gt;Van Campenhout, J.&lt;/author&gt;&lt;author&gt;Absil, P.&lt;/author&gt;&lt;author&gt;Hao, Y.&lt;/author&gt;&lt;author&gt;Yang, J.&lt;/author&gt;&lt;author&gt;Jiang, X.&lt;/author&gt;&lt;/authors&gt;&lt;/contributors&gt;&lt;titles&gt;&lt;title&gt;Trade-off between optical modulation amplitude and modulation bandwidth of silicon micro-ring modulators&lt;/title&gt;&lt;secondary-title&gt;Opt Express&lt;/secondary-title&gt;&lt;/titles&gt;&lt;periodical&gt;&lt;full-title&gt;Opt Express&lt;/full-title&gt;&lt;/periodical&gt;&lt;pages&gt;15178-89&lt;/pages&gt;&lt;volume&gt;22&lt;/volume&gt;&lt;number&gt;12&lt;/number&gt;&lt;edition&gt;2014/07/01&lt;/edition&gt;&lt;dates&gt;&lt;year&gt;2014&lt;/year&gt;&lt;pub-dates&gt;&lt;date&gt;Jun 16&lt;/date&gt;&lt;/pub-dates&gt;&lt;/dates&gt;&lt;isbn&gt;1094-4087 (Electronic)&amp;#xD;1094-4087 (Linking)&lt;/isbn&gt;&lt;accession-num&gt;24977610&lt;/accession-num&gt;&lt;urls&gt;&lt;related-urls&gt;&lt;url&gt;https://www.ncbi.nlm.nih.gov/pubmed/24977610&lt;/url&gt;&lt;/related-urls&gt;&lt;/urls&gt;&lt;electronic-resource-num&gt;10.1364/OE.22.015178&lt;/electronic-resource-num&gt;&lt;/record&gt;&lt;/Cite&gt;&lt;/EndNote&gt;</w:instrText>
      </w:r>
      <w:r>
        <w:rPr>
          <w:szCs w:val="24"/>
          <w:lang w:eastAsia="zh-CN"/>
        </w:rPr>
        <w:fldChar w:fldCharType="separate"/>
      </w:r>
      <w:r>
        <w:rPr>
          <w:noProof/>
          <w:szCs w:val="24"/>
          <w:lang w:eastAsia="zh-CN"/>
        </w:rPr>
        <w:t>[6]</w:t>
      </w:r>
      <w:r>
        <w:rPr>
          <w:szCs w:val="24"/>
          <w:lang w:eastAsia="zh-CN"/>
        </w:rPr>
        <w:fldChar w:fldCharType="end"/>
      </w:r>
      <w:r w:rsidRPr="007D325A">
        <w:rPr>
          <w:szCs w:val="24"/>
          <w:lang w:eastAsia="zh-CN"/>
        </w:rPr>
        <w:t>, as shown in Fig</w:t>
      </w:r>
      <w:r>
        <w:rPr>
          <w:szCs w:val="24"/>
          <w:lang w:eastAsia="zh-CN"/>
        </w:rPr>
        <w:t>. S4</w:t>
      </w:r>
      <w:r w:rsidRPr="007D325A">
        <w:rPr>
          <w:szCs w:val="24"/>
          <w:lang w:eastAsia="zh-CN"/>
        </w:rPr>
        <w:t xml:space="preserve">D. </w:t>
      </w:r>
      <w:r w:rsidRPr="001948DF">
        <w:rPr>
          <w:szCs w:val="24"/>
          <w:lang w:eastAsia="zh-CN"/>
        </w:rPr>
        <w:t xml:space="preserve">The </w:t>
      </w:r>
      <w:r>
        <w:rPr>
          <w:szCs w:val="24"/>
          <w:lang w:eastAsia="zh-CN"/>
        </w:rPr>
        <w:t>EO</w:t>
      </w:r>
      <w:r w:rsidRPr="001948DF">
        <w:rPr>
          <w:szCs w:val="24"/>
          <w:lang w:eastAsia="zh-CN"/>
        </w:rPr>
        <w:t xml:space="preserve"> bandwidth of the MRM at the -3 dB operating point is 55.8 GHz </w:t>
      </w:r>
      <w:r>
        <w:rPr>
          <w:szCs w:val="24"/>
          <w:lang w:eastAsia="zh-CN"/>
        </w:rPr>
        <w:t>upon</w:t>
      </w:r>
      <w:r w:rsidRPr="001948DF">
        <w:rPr>
          <w:szCs w:val="24"/>
          <w:lang w:eastAsia="zh-CN"/>
        </w:rPr>
        <w:t xml:space="preserve"> -3 V bias, </w:t>
      </w:r>
      <w:r>
        <w:rPr>
          <w:szCs w:val="24"/>
          <w:lang w:eastAsia="zh-CN"/>
        </w:rPr>
        <w:t>owing</w:t>
      </w:r>
      <w:r w:rsidRPr="001948DF">
        <w:rPr>
          <w:szCs w:val="24"/>
          <w:lang w:eastAsia="zh-CN"/>
        </w:rPr>
        <w:t xml:space="preserve"> to the optical peaking effect</w:t>
      </w:r>
      <w:r>
        <w:rPr>
          <w:szCs w:val="24"/>
          <w:lang w:eastAsia="zh-CN"/>
        </w:rPr>
        <w:t xml:space="preserve"> </w:t>
      </w:r>
      <w:r>
        <w:rPr>
          <w:szCs w:val="24"/>
          <w:lang w:eastAsia="zh-CN"/>
        </w:rPr>
        <w:fldChar w:fldCharType="begin"/>
      </w:r>
      <w:r>
        <w:rPr>
          <w:szCs w:val="24"/>
          <w:lang w:eastAsia="zh-CN"/>
        </w:rPr>
        <w:instrText xml:space="preserve"> ADDIN EN.CITE &lt;EndNote&gt;&lt;Cite&gt;&lt;Author&gt;Muller&lt;/Author&gt;&lt;Year&gt;2014&lt;/Year&gt;&lt;RecNum&gt;167&lt;/RecNum&gt;&lt;DisplayText&gt;[7]&lt;/DisplayText&gt;&lt;record&gt;&lt;rec-number&gt;167&lt;/rec-number&gt;&lt;foreign-keys&gt;&lt;key app="EN" db-id="dfx999fx3t5p9ferpfrxtrw2dt9p2sasfspr" timestamp="1627000657" guid="09e2ebde-dcf7-42a0-9411-2aae9c86b780"&gt;167&lt;/key&gt;&lt;key app="ENWeb" db-id=""&gt;0&lt;/key&gt;&lt;/foreign-keys&gt;&lt;ref-type name="Journal Article"&gt;17&lt;/ref-type&gt;&lt;contributors&gt;&lt;authors&gt;&lt;author&gt;Muller, J.&lt;/author&gt;&lt;author&gt;Merget, F.&lt;/author&gt;&lt;author&gt;Sharif Azadeh, S.&lt;/author&gt;&lt;author&gt;Hauck, J.&lt;/author&gt;&lt;author&gt;Garcia, S. R.&lt;/author&gt;&lt;author&gt;Shen, B.&lt;/author&gt;&lt;author&gt;Witzens, J.&lt;/author&gt;&lt;/authors&gt;&lt;/contributors&gt;&lt;auth-address&gt;Integrated Photonics Laboratory, RWTH Aachen, Sommerfeldstr. 14, D-52074 Aachen, Germany.&lt;/auth-address&gt;&lt;titles&gt;&lt;title&gt;Optical peaking enhancement in high-speed ring modulators&lt;/title&gt;&lt;secondary-title&gt;Sci Rep&lt;/secondary-title&gt;&lt;/titles&gt;&lt;periodical&gt;&lt;full-title&gt;Sci Rep&lt;/full-title&gt;&lt;/periodical&gt;&lt;pages&gt;6310&lt;/pages&gt;&lt;volume&gt;4&lt;/volume&gt;&lt;edition&gt;2014/09/12&lt;/edition&gt;&lt;dates&gt;&lt;year&gt;2014&lt;/year&gt;&lt;pub-dates&gt;&lt;date&gt;Sep 11&lt;/date&gt;&lt;/pub-dates&gt;&lt;/dates&gt;&lt;isbn&gt;2045-2322 (Electronic)&amp;#xD;2045-2322 (Linking)&lt;/isbn&gt;&lt;accession-num&gt;25209255&lt;/accession-num&gt;&lt;urls&gt;&lt;related-urls&gt;&lt;url&gt;https://www.ncbi.nlm.nih.gov/pubmed/25209255&lt;/url&gt;&lt;/related-urls&gt;&lt;/urls&gt;&lt;custom2&gt;PMC4160714&lt;/custom2&gt;&lt;electronic-resource-num&gt;10.1038/srep06310&lt;/electronic-resource-num&gt;&lt;/record&gt;&lt;/Cite&gt;&lt;/EndNote&gt;</w:instrText>
      </w:r>
      <w:r>
        <w:rPr>
          <w:szCs w:val="24"/>
          <w:lang w:eastAsia="zh-CN"/>
        </w:rPr>
        <w:fldChar w:fldCharType="separate"/>
      </w:r>
      <w:r>
        <w:rPr>
          <w:noProof/>
          <w:szCs w:val="24"/>
          <w:lang w:eastAsia="zh-CN"/>
        </w:rPr>
        <w:t>[7]</w:t>
      </w:r>
      <w:r>
        <w:rPr>
          <w:szCs w:val="24"/>
          <w:lang w:eastAsia="zh-CN"/>
        </w:rPr>
        <w:fldChar w:fldCharType="end"/>
      </w:r>
      <w:r w:rsidRPr="001948DF">
        <w:rPr>
          <w:szCs w:val="24"/>
          <w:lang w:eastAsia="zh-CN"/>
        </w:rPr>
        <w:t>. Th</w:t>
      </w:r>
      <w:r>
        <w:rPr>
          <w:szCs w:val="24"/>
          <w:lang w:eastAsia="zh-CN"/>
        </w:rPr>
        <w:t>e EO</w:t>
      </w:r>
      <w:r w:rsidRPr="001948DF">
        <w:rPr>
          <w:szCs w:val="24"/>
          <w:lang w:eastAsia="zh-CN"/>
        </w:rPr>
        <w:t xml:space="preserve"> bandwidth</w:t>
      </w:r>
      <w:r>
        <w:rPr>
          <w:szCs w:val="24"/>
          <w:lang w:eastAsia="zh-CN"/>
        </w:rPr>
        <w:t xml:space="preserve"> of the MRM</w:t>
      </w:r>
      <w:r w:rsidRPr="001948DF">
        <w:rPr>
          <w:szCs w:val="24"/>
          <w:lang w:eastAsia="zh-CN"/>
        </w:rPr>
        <w:t xml:space="preserve"> decreases to 35.6 </w:t>
      </w:r>
      <w:r w:rsidRPr="001948DF">
        <w:rPr>
          <w:szCs w:val="24"/>
          <w:lang w:eastAsia="zh-CN"/>
        </w:rPr>
        <w:lastRenderedPageBreak/>
        <w:t xml:space="preserve">GHz when the operating point shifts from -3 dB to -6 dB. </w:t>
      </w:r>
      <w:r>
        <w:rPr>
          <w:szCs w:val="24"/>
          <w:lang w:eastAsia="zh-CN"/>
        </w:rPr>
        <w:t xml:space="preserve">The simulated </w:t>
      </w:r>
      <w:r w:rsidRPr="001948DF">
        <w:rPr>
          <w:szCs w:val="24"/>
          <w:lang w:eastAsia="zh-CN"/>
        </w:rPr>
        <w:t>modulation efficiency of</w:t>
      </w:r>
      <w:r>
        <w:rPr>
          <w:szCs w:val="24"/>
          <w:lang w:eastAsia="zh-CN"/>
        </w:rPr>
        <w:t xml:space="preserve"> the MRM is</w:t>
      </w:r>
      <w:r w:rsidRPr="001948DF">
        <w:rPr>
          <w:szCs w:val="24"/>
          <w:lang w:eastAsia="zh-CN"/>
        </w:rPr>
        <w:t xml:space="preserve"> 32 pm/V, slightly exceeding the measured 25 pm/V. This discrepancy arises from the proximity of the two lightly doped boundaries in the PN junction, where diffusion results in complementary doping and reduced concentration, thereby lowering modulation efficiency. Additionally, the </w:t>
      </w:r>
      <w:r>
        <w:rPr>
          <w:szCs w:val="24"/>
          <w:lang w:eastAsia="zh-CN"/>
        </w:rPr>
        <w:t>measured</w:t>
      </w:r>
      <w:r w:rsidRPr="001948DF">
        <w:rPr>
          <w:szCs w:val="24"/>
          <w:lang w:eastAsia="zh-CN"/>
        </w:rPr>
        <w:t xml:space="preserve"> </w:t>
      </w:r>
      <w:r>
        <w:rPr>
          <w:szCs w:val="24"/>
          <w:lang w:eastAsia="zh-CN"/>
        </w:rPr>
        <w:t>EO</w:t>
      </w:r>
      <w:r w:rsidRPr="001948DF">
        <w:rPr>
          <w:szCs w:val="24"/>
          <w:lang w:eastAsia="zh-CN"/>
        </w:rPr>
        <w:t xml:space="preserve"> bandwidth is </w:t>
      </w:r>
      <w:r>
        <w:rPr>
          <w:szCs w:val="24"/>
          <w:lang w:eastAsia="zh-CN"/>
        </w:rPr>
        <w:t>larg</w:t>
      </w:r>
      <w:r w:rsidRPr="001948DF">
        <w:rPr>
          <w:szCs w:val="24"/>
          <w:lang w:eastAsia="zh-CN"/>
        </w:rPr>
        <w:t xml:space="preserve">er than </w:t>
      </w:r>
      <w:r>
        <w:rPr>
          <w:szCs w:val="24"/>
          <w:lang w:eastAsia="zh-CN"/>
        </w:rPr>
        <w:t>simulation one</w:t>
      </w:r>
      <w:r w:rsidRPr="001948DF">
        <w:rPr>
          <w:szCs w:val="24"/>
          <w:lang w:eastAsia="zh-CN"/>
        </w:rPr>
        <w:t xml:space="preserve"> due to increased </w:t>
      </w:r>
      <w:r>
        <w:rPr>
          <w:szCs w:val="24"/>
          <w:lang w:eastAsia="zh-CN"/>
        </w:rPr>
        <w:t xml:space="preserve">optical </w:t>
      </w:r>
      <w:r w:rsidRPr="001948DF">
        <w:rPr>
          <w:szCs w:val="24"/>
          <w:lang w:eastAsia="zh-CN"/>
        </w:rPr>
        <w:t xml:space="preserve">losses </w:t>
      </w:r>
      <w:r>
        <w:rPr>
          <w:szCs w:val="24"/>
          <w:lang w:eastAsia="zh-CN"/>
        </w:rPr>
        <w:t>resulting from the diffusion of</w:t>
      </w:r>
      <w:r w:rsidRPr="001948DF">
        <w:rPr>
          <w:szCs w:val="24"/>
          <w:lang w:eastAsia="zh-CN"/>
        </w:rPr>
        <w:t xml:space="preserve"> the heavily doped region, which enhances the optical bandwidth and, consequently, the </w:t>
      </w:r>
      <w:r>
        <w:rPr>
          <w:szCs w:val="24"/>
          <w:lang w:eastAsia="zh-CN"/>
        </w:rPr>
        <w:t>EO</w:t>
      </w:r>
      <w:r w:rsidRPr="001948DF">
        <w:rPr>
          <w:szCs w:val="24"/>
          <w:lang w:eastAsia="zh-CN"/>
        </w:rPr>
        <w:t xml:space="preserve"> bandwidth of the MRM.</w:t>
      </w:r>
    </w:p>
    <w:p w14:paraId="03E0C103" w14:textId="77777777" w:rsidR="00A0323A" w:rsidRDefault="00A0323A" w:rsidP="006B06B2">
      <w:pPr>
        <w:pStyle w:val="Refhead"/>
        <w:spacing w:before="0" w:after="0"/>
        <w:jc w:val="both"/>
      </w:pPr>
      <w:r>
        <w:t>References</w:t>
      </w:r>
    </w:p>
    <w:p w14:paraId="0F7A0036" w14:textId="77777777" w:rsidR="00C61ACB" w:rsidRPr="00C61ACB" w:rsidRDefault="00A0323A" w:rsidP="00C61ACB">
      <w:pPr>
        <w:pStyle w:val="EndNoteBibliography"/>
        <w:ind w:left="720" w:hanging="720"/>
      </w:pPr>
      <w:r>
        <w:fldChar w:fldCharType="begin"/>
      </w:r>
      <w:r>
        <w:instrText xml:space="preserve"> ADDIN EN.REFLIST </w:instrText>
      </w:r>
      <w:r>
        <w:fldChar w:fldCharType="separate"/>
      </w:r>
      <w:r w:rsidR="00C61ACB" w:rsidRPr="00C61ACB">
        <w:t xml:space="preserve">1. X. Xue, P. H. Wang, et al., </w:t>
      </w:r>
      <w:r w:rsidR="00C61ACB" w:rsidRPr="00C61ACB">
        <w:rPr>
          <w:i/>
        </w:rPr>
        <w:t>Microresonator Kerr frequency combs with high conversion efficiency.</w:t>
      </w:r>
      <w:r w:rsidR="00C61ACB" w:rsidRPr="00C61ACB">
        <w:t xml:space="preserve"> </w:t>
      </w:r>
      <w:r w:rsidR="00C61ACB" w:rsidRPr="00C61ACB">
        <w:rPr>
          <w:i/>
        </w:rPr>
        <w:t>Laser Photonics Rev.</w:t>
      </w:r>
      <w:r w:rsidR="00C61ACB" w:rsidRPr="00C61ACB">
        <w:rPr>
          <w:b/>
        </w:rPr>
        <w:t xml:space="preserve"> 11</w:t>
      </w:r>
      <w:r w:rsidR="00C61ACB" w:rsidRPr="00C61ACB">
        <w:t xml:space="preserve"> (2017)</w:t>
      </w:r>
    </w:p>
    <w:p w14:paraId="3E904027" w14:textId="77777777" w:rsidR="00C61ACB" w:rsidRPr="00C61ACB" w:rsidRDefault="00C61ACB" w:rsidP="00C61ACB">
      <w:pPr>
        <w:pStyle w:val="EndNoteBibliography"/>
        <w:ind w:left="720" w:hanging="720"/>
        <w:rPr>
          <w:rFonts w:hint="eastAsia"/>
        </w:rPr>
      </w:pPr>
      <w:r w:rsidRPr="00C61ACB">
        <w:rPr>
          <w:rFonts w:hint="eastAsia"/>
        </w:rPr>
        <w:t xml:space="preserve">2. B. Y. Kim, Y. Okawachi, et al., </w:t>
      </w:r>
      <w:r w:rsidRPr="00C61ACB">
        <w:rPr>
          <w:rFonts w:hint="eastAsia"/>
          <w:i/>
        </w:rPr>
        <w:t>Coherent Combining for High</w:t>
      </w:r>
      <w:r w:rsidRPr="00C61ACB">
        <w:rPr>
          <w:rFonts w:hint="eastAsia"/>
          <w:i/>
        </w:rPr>
        <w:t>‐</w:t>
      </w:r>
      <w:r w:rsidRPr="00C61ACB">
        <w:rPr>
          <w:rFonts w:hint="eastAsia"/>
          <w:i/>
        </w:rPr>
        <w:t>Power Kerr Combs.</w:t>
      </w:r>
      <w:r w:rsidRPr="00C61ACB">
        <w:rPr>
          <w:rFonts w:hint="eastAsia"/>
        </w:rPr>
        <w:t xml:space="preserve"> </w:t>
      </w:r>
      <w:r w:rsidRPr="00C61ACB">
        <w:rPr>
          <w:rFonts w:hint="eastAsia"/>
          <w:i/>
        </w:rPr>
        <w:t>Laser Photonics Rev.</w:t>
      </w:r>
      <w:r w:rsidRPr="00C61ACB">
        <w:rPr>
          <w:rFonts w:hint="eastAsia"/>
          <w:b/>
        </w:rPr>
        <w:t xml:space="preserve"> 17</w:t>
      </w:r>
      <w:r w:rsidRPr="00C61ACB">
        <w:rPr>
          <w:rFonts w:hint="eastAsia"/>
        </w:rPr>
        <w:t xml:space="preserve"> (2023)</w:t>
      </w:r>
    </w:p>
    <w:p w14:paraId="2662B45A" w14:textId="77777777" w:rsidR="00C61ACB" w:rsidRPr="00C61ACB" w:rsidRDefault="00C61ACB" w:rsidP="00C61ACB">
      <w:pPr>
        <w:pStyle w:val="EndNoteBibliography"/>
        <w:ind w:left="720" w:hanging="720"/>
      </w:pPr>
      <w:r w:rsidRPr="00C61ACB">
        <w:t xml:space="preserve">3. M. H. Anderson, W. Weng, et al., </w:t>
      </w:r>
      <w:r w:rsidRPr="00C61ACB">
        <w:rPr>
          <w:i/>
        </w:rPr>
        <w:t>Zero dispersion Kerr solitons in optical microresonators.</w:t>
      </w:r>
      <w:r w:rsidRPr="00C61ACB">
        <w:t xml:space="preserve"> </w:t>
      </w:r>
      <w:r w:rsidRPr="00C61ACB">
        <w:rPr>
          <w:i/>
        </w:rPr>
        <w:t>Nat. Commun.</w:t>
      </w:r>
      <w:r w:rsidRPr="00C61ACB">
        <w:rPr>
          <w:b/>
        </w:rPr>
        <w:t xml:space="preserve"> 13</w:t>
      </w:r>
      <w:r w:rsidRPr="00C61ACB">
        <w:t xml:space="preserve"> (2022)</w:t>
      </w:r>
    </w:p>
    <w:p w14:paraId="72445BE8" w14:textId="77777777" w:rsidR="00C61ACB" w:rsidRPr="00C61ACB" w:rsidRDefault="00C61ACB" w:rsidP="00C61ACB">
      <w:pPr>
        <w:pStyle w:val="EndNoteBibliography"/>
        <w:ind w:left="720" w:hanging="720"/>
      </w:pPr>
      <w:r w:rsidRPr="00C61ACB">
        <w:t xml:space="preserve">4. Z. Xiao, K. Wu, et al., </w:t>
      </w:r>
      <w:r w:rsidRPr="00C61ACB">
        <w:rPr>
          <w:i/>
        </w:rPr>
        <w:t>Modeling the Kerr Comb of a Pulse Pumped F-P Microresonator With Normal Dispersion.</w:t>
      </w:r>
      <w:r w:rsidRPr="00C61ACB">
        <w:t xml:space="preserve"> </w:t>
      </w:r>
      <w:r w:rsidRPr="00C61ACB">
        <w:rPr>
          <w:i/>
        </w:rPr>
        <w:t>J. Lightwave Technol.</w:t>
      </w:r>
      <w:r w:rsidRPr="00C61ACB">
        <w:rPr>
          <w:b/>
        </w:rPr>
        <w:t xml:space="preserve"> 41</w:t>
      </w:r>
      <w:r w:rsidRPr="00C61ACB">
        <w:t>, 7408-7417 (2023)</w:t>
      </w:r>
    </w:p>
    <w:p w14:paraId="23D12BCD" w14:textId="77777777" w:rsidR="00C61ACB" w:rsidRPr="00C61ACB" w:rsidRDefault="00C61ACB" w:rsidP="00C61ACB">
      <w:pPr>
        <w:pStyle w:val="EndNoteBibliography"/>
        <w:ind w:left="720" w:hanging="720"/>
      </w:pPr>
      <w:r w:rsidRPr="00C61ACB">
        <w:t xml:space="preserve">5. J. Li, S. Wan, et al., </w:t>
      </w:r>
      <w:r w:rsidRPr="00C61ACB">
        <w:rPr>
          <w:i/>
        </w:rPr>
        <w:t>Thermal tuning of mode crossing and the perfect soliton crystal in a Si3N4 microresonator.</w:t>
      </w:r>
      <w:r w:rsidRPr="00C61ACB">
        <w:t xml:space="preserve"> </w:t>
      </w:r>
      <w:r w:rsidRPr="00C61ACB">
        <w:rPr>
          <w:i/>
        </w:rPr>
        <w:t>Opt. Express</w:t>
      </w:r>
      <w:r w:rsidRPr="00C61ACB">
        <w:rPr>
          <w:b/>
        </w:rPr>
        <w:t xml:space="preserve"> 30</w:t>
      </w:r>
      <w:r w:rsidRPr="00C61ACB">
        <w:t>, 13690-13698 (2022)</w:t>
      </w:r>
    </w:p>
    <w:p w14:paraId="4F86FD87" w14:textId="3970F82D" w:rsidR="00C61ACB" w:rsidRPr="00C61ACB" w:rsidRDefault="00C61ACB" w:rsidP="00C61ACB">
      <w:pPr>
        <w:pStyle w:val="EndNoteBibliography"/>
        <w:ind w:left="720" w:hanging="720"/>
      </w:pPr>
      <w:r w:rsidRPr="00C61ACB">
        <w:t xml:space="preserve">6. H. Yu, D. Ying, et al., </w:t>
      </w:r>
      <w:r w:rsidRPr="00C61ACB">
        <w:rPr>
          <w:i/>
        </w:rPr>
        <w:t>Trade-off between optical modulation amplitude and modulation bandwidth of silicon micro-ring modulators.</w:t>
      </w:r>
      <w:r w:rsidRPr="00C61ACB">
        <w:t xml:space="preserve"> </w:t>
      </w:r>
      <w:r w:rsidRPr="00C61ACB">
        <w:rPr>
          <w:i/>
        </w:rPr>
        <w:t>Opt</w:t>
      </w:r>
      <w:r w:rsidR="00B06749">
        <w:rPr>
          <w:rFonts w:hint="eastAsia"/>
          <w:i/>
          <w:lang w:eastAsia="zh-CN"/>
        </w:rPr>
        <w:t>,</w:t>
      </w:r>
      <w:r w:rsidRPr="00C61ACB">
        <w:rPr>
          <w:i/>
        </w:rPr>
        <w:t xml:space="preserve"> Express</w:t>
      </w:r>
      <w:r w:rsidRPr="00C61ACB">
        <w:rPr>
          <w:b/>
        </w:rPr>
        <w:t xml:space="preserve"> 22</w:t>
      </w:r>
      <w:r w:rsidRPr="00C61ACB">
        <w:t>, 15178-89 (2014)</w:t>
      </w:r>
    </w:p>
    <w:p w14:paraId="3CD68E6E" w14:textId="615960F2" w:rsidR="00C61ACB" w:rsidRPr="00C61ACB" w:rsidRDefault="00C61ACB" w:rsidP="00C61ACB">
      <w:pPr>
        <w:pStyle w:val="EndNoteBibliography"/>
        <w:ind w:left="720" w:hanging="720"/>
      </w:pPr>
      <w:r w:rsidRPr="00C61ACB">
        <w:t xml:space="preserve">7. J. Muller, F. Merget, et al., </w:t>
      </w:r>
      <w:r w:rsidRPr="00C61ACB">
        <w:rPr>
          <w:i/>
        </w:rPr>
        <w:t>Optical peaking enhancement in high-speed ring modulators.</w:t>
      </w:r>
      <w:r w:rsidRPr="00C61ACB">
        <w:t xml:space="preserve"> </w:t>
      </w:r>
      <w:r w:rsidRPr="00C61ACB">
        <w:rPr>
          <w:i/>
        </w:rPr>
        <w:t>Sci</w:t>
      </w:r>
      <w:r w:rsidR="00B06749">
        <w:rPr>
          <w:i/>
        </w:rPr>
        <w:t>.</w:t>
      </w:r>
      <w:r w:rsidRPr="00C61ACB">
        <w:rPr>
          <w:i/>
        </w:rPr>
        <w:t xml:space="preserve"> Rep</w:t>
      </w:r>
      <w:r w:rsidR="00B06749">
        <w:rPr>
          <w:i/>
        </w:rPr>
        <w:t>.</w:t>
      </w:r>
      <w:r w:rsidRPr="00C61ACB">
        <w:rPr>
          <w:b/>
        </w:rPr>
        <w:t xml:space="preserve"> 4</w:t>
      </w:r>
      <w:r w:rsidRPr="00C61ACB">
        <w:t>, 6310 (2014)</w:t>
      </w:r>
    </w:p>
    <w:p w14:paraId="5FF0E35A" w14:textId="08B903E1" w:rsidR="00A0323A" w:rsidRPr="00015F74" w:rsidRDefault="00A0323A" w:rsidP="006B06B2">
      <w:pPr>
        <w:pStyle w:val="SMcaption"/>
        <w:jc w:val="both"/>
      </w:pPr>
      <w:r>
        <w:fldChar w:fldCharType="end"/>
      </w:r>
    </w:p>
    <w:p w14:paraId="050DCB9A" w14:textId="148BB873" w:rsidR="00BE5194" w:rsidRDefault="00BE5194" w:rsidP="006B06B2">
      <w:pPr>
        <w:jc w:val="both"/>
      </w:pPr>
    </w:p>
    <w:sectPr w:rsidR="00BE5194" w:rsidSect="00E853D5">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2D94E" w14:textId="77777777" w:rsidR="00A0323A" w:rsidRDefault="00A0323A" w:rsidP="00A0323A">
      <w:r>
        <w:separator/>
      </w:r>
    </w:p>
  </w:endnote>
  <w:endnote w:type="continuationSeparator" w:id="0">
    <w:p w14:paraId="562C16E3" w14:textId="77777777" w:rsidR="00A0323A" w:rsidRDefault="00A0323A" w:rsidP="00A0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14216" w14:textId="77777777" w:rsidR="00F125EE" w:rsidRDefault="006B06B2">
    <w:pPr>
      <w:pStyle w:val="a5"/>
      <w:jc w:val="right"/>
    </w:pPr>
    <w:r>
      <w:fldChar w:fldCharType="begin"/>
    </w:r>
    <w:r>
      <w:instrText xml:space="preserve"> PAGE   \* MERGEFORMAT </w:instrText>
    </w:r>
    <w:r>
      <w:fldChar w:fldCharType="separate"/>
    </w:r>
    <w:r>
      <w:rPr>
        <w:noProof/>
      </w:rPr>
      <w:t>3</w:t>
    </w:r>
    <w:r>
      <w:fldChar w:fldCharType="end"/>
    </w:r>
  </w:p>
  <w:p w14:paraId="67211544" w14:textId="77777777" w:rsidR="00F125EE" w:rsidRDefault="00B067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23DAD" w14:textId="77777777" w:rsidR="00A0323A" w:rsidRDefault="00A0323A" w:rsidP="00A0323A">
      <w:r>
        <w:separator/>
      </w:r>
    </w:p>
  </w:footnote>
  <w:footnote w:type="continuationSeparator" w:id="0">
    <w:p w14:paraId="3ACCF3BC" w14:textId="77777777" w:rsidR="00A0323A" w:rsidRDefault="00A0323A" w:rsidP="00A03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2ADD" w14:textId="77777777" w:rsidR="003A2FD8" w:rsidRPr="005001AC" w:rsidRDefault="00B06749" w:rsidP="005001AC">
    <w:pPr>
      <w:jc w:val="right"/>
      <w:rPr>
        <w:sz w:val="20"/>
      </w:rPr>
    </w:pPr>
  </w:p>
  <w:p w14:paraId="62AD2AFD" w14:textId="77777777" w:rsidR="003A2FD8" w:rsidRDefault="00B067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xvvtfp2zatr4ez5xqxdat4rtfxfpwps2v2&quot;&gt;My EndNote Library&lt;record-ids&gt;&lt;item&gt;310&lt;/item&gt;&lt;item&gt;496&lt;/item&gt;&lt;item&gt;497&lt;/item&gt;&lt;item&gt;527&lt;/item&gt;&lt;item&gt;528&lt;/item&gt;&lt;/record-ids&gt;&lt;/item&gt;&lt;/Libraries&gt;"/>
  </w:docVars>
  <w:rsids>
    <w:rsidRoot w:val="00476022"/>
    <w:rsid w:val="00142890"/>
    <w:rsid w:val="00476022"/>
    <w:rsid w:val="006B06B2"/>
    <w:rsid w:val="00A0323A"/>
    <w:rsid w:val="00A62844"/>
    <w:rsid w:val="00B06749"/>
    <w:rsid w:val="00BE5194"/>
    <w:rsid w:val="00C3341F"/>
    <w:rsid w:val="00C61ACB"/>
    <w:rsid w:val="00DD5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AE4E1BD"/>
  <w14:discardImageEditingData/>
  <w14:defaultImageDpi w14:val="32767"/>
  <w15:chartTrackingRefBased/>
  <w15:docId w15:val="{D6AEB2D3-13E8-45B2-88CD-AF53CFE6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23A"/>
    <w:rPr>
      <w:rFonts w:ascii="Times New Roman" w:hAnsi="Times New Roman" w:cs="Times New Roman"/>
      <w:kern w:val="0"/>
      <w:sz w:val="24"/>
      <w:szCs w:val="20"/>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323A"/>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lang w:eastAsia="zh-CN"/>
    </w:rPr>
  </w:style>
  <w:style w:type="character" w:customStyle="1" w:styleId="a4">
    <w:name w:val="页眉 字符"/>
    <w:basedOn w:val="a0"/>
    <w:link w:val="a3"/>
    <w:uiPriority w:val="99"/>
    <w:rsid w:val="00A0323A"/>
    <w:rPr>
      <w:sz w:val="18"/>
      <w:szCs w:val="18"/>
    </w:rPr>
  </w:style>
  <w:style w:type="paragraph" w:styleId="a5">
    <w:name w:val="footer"/>
    <w:basedOn w:val="a"/>
    <w:link w:val="a6"/>
    <w:unhideWhenUsed/>
    <w:rsid w:val="00A0323A"/>
    <w:pPr>
      <w:widowControl w:val="0"/>
      <w:tabs>
        <w:tab w:val="center" w:pos="4153"/>
        <w:tab w:val="right" w:pos="8306"/>
      </w:tabs>
      <w:snapToGrid w:val="0"/>
    </w:pPr>
    <w:rPr>
      <w:rFonts w:asciiTheme="minorHAnsi" w:hAnsiTheme="minorHAnsi" w:cstheme="minorBidi"/>
      <w:kern w:val="2"/>
      <w:sz w:val="18"/>
      <w:szCs w:val="18"/>
      <w:lang w:eastAsia="zh-CN"/>
    </w:rPr>
  </w:style>
  <w:style w:type="character" w:customStyle="1" w:styleId="a6">
    <w:name w:val="页脚 字符"/>
    <w:basedOn w:val="a0"/>
    <w:link w:val="a5"/>
    <w:rsid w:val="00A0323A"/>
    <w:rPr>
      <w:sz w:val="18"/>
      <w:szCs w:val="18"/>
    </w:rPr>
  </w:style>
  <w:style w:type="paragraph" w:customStyle="1" w:styleId="SMcaption">
    <w:name w:val="SM caption"/>
    <w:basedOn w:val="a"/>
    <w:qFormat/>
    <w:rsid w:val="00A0323A"/>
  </w:style>
  <w:style w:type="character" w:styleId="a7">
    <w:name w:val="Hyperlink"/>
    <w:semiHidden/>
    <w:rsid w:val="00A0323A"/>
    <w:rPr>
      <w:color w:val="0000FF"/>
      <w:u w:val="single"/>
    </w:rPr>
  </w:style>
  <w:style w:type="paragraph" w:customStyle="1" w:styleId="Refhead">
    <w:name w:val="Ref head"/>
    <w:basedOn w:val="a"/>
    <w:rsid w:val="00A0323A"/>
    <w:pPr>
      <w:keepNext/>
      <w:spacing w:before="120" w:after="120"/>
      <w:outlineLvl w:val="0"/>
    </w:pPr>
    <w:rPr>
      <w:rFonts w:eastAsia="Times New Roman"/>
      <w:b/>
      <w:bCs/>
      <w:kern w:val="28"/>
      <w:szCs w:val="24"/>
    </w:rPr>
  </w:style>
  <w:style w:type="paragraph" w:customStyle="1" w:styleId="EndNoteBibliography">
    <w:name w:val="EndNote Bibliography"/>
    <w:basedOn w:val="a"/>
    <w:link w:val="EndNoteBibliography0"/>
    <w:rsid w:val="00A0323A"/>
    <w:rPr>
      <w:noProof/>
    </w:rPr>
  </w:style>
  <w:style w:type="character" w:customStyle="1" w:styleId="EndNoteBibliography0">
    <w:name w:val="EndNote Bibliography 字符"/>
    <w:basedOn w:val="a0"/>
    <w:link w:val="EndNoteBibliography"/>
    <w:rsid w:val="00A0323A"/>
    <w:rPr>
      <w:rFonts w:ascii="Times New Roman" w:hAnsi="Times New Roman" w:cs="Times New Roman"/>
      <w:noProof/>
      <w:kern w:val="0"/>
      <w:sz w:val="24"/>
      <w:szCs w:val="20"/>
      <w:lang w:eastAsia="en-US"/>
    </w:rPr>
  </w:style>
  <w:style w:type="paragraph" w:customStyle="1" w:styleId="Head1">
    <w:name w:val="Head 1"/>
    <w:basedOn w:val="a"/>
    <w:link w:val="Head10"/>
    <w:autoRedefine/>
    <w:rsid w:val="006B06B2"/>
    <w:pPr>
      <w:spacing w:after="240"/>
      <w:jc w:val="both"/>
    </w:pPr>
    <w:rPr>
      <w:rFonts w:eastAsia="MS Mincho"/>
      <w:bCs/>
      <w:szCs w:val="24"/>
      <w:lang w:eastAsia="zh-CN"/>
    </w:rPr>
  </w:style>
  <w:style w:type="character" w:customStyle="1" w:styleId="Head10">
    <w:name w:val="Head 1 字符"/>
    <w:basedOn w:val="a0"/>
    <w:link w:val="Head1"/>
    <w:rsid w:val="006B06B2"/>
    <w:rPr>
      <w:rFonts w:ascii="Times New Roman" w:eastAsia="MS Mincho" w:hAnsi="Times New Roman" w:cs="Times New Roman"/>
      <w:bCs/>
      <w:kern w:val="0"/>
      <w:sz w:val="24"/>
      <w:szCs w:val="24"/>
    </w:rPr>
  </w:style>
  <w:style w:type="paragraph" w:customStyle="1" w:styleId="EndNoteBibliographyTitle">
    <w:name w:val="EndNote Bibliography Title"/>
    <w:basedOn w:val="a"/>
    <w:link w:val="EndNoteBibliographyTitle0"/>
    <w:rsid w:val="00C61ACB"/>
    <w:pPr>
      <w:jc w:val="center"/>
    </w:pPr>
    <w:rPr>
      <w:noProof/>
    </w:rPr>
  </w:style>
  <w:style w:type="character" w:customStyle="1" w:styleId="EndNoteBibliographyTitle0">
    <w:name w:val="EndNote Bibliography Title 字符"/>
    <w:basedOn w:val="EndNoteBibliography0"/>
    <w:link w:val="EndNoteBibliographyTitle"/>
    <w:rsid w:val="00C61ACB"/>
    <w:rPr>
      <w:rFonts w:ascii="Times New Roman" w:hAnsi="Times New Roman" w:cs="Times New Roman"/>
      <w:noProof/>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yuli_seiee@sjtu.edu.c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uliangjun@sjtu.edu.cn" TargetMode="External"/><Relationship Id="rId11" Type="http://schemas.openxmlformats.org/officeDocument/2006/relationships/image" Target="media/image4.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footnotes" Target="footnote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2338</Words>
  <Characters>16040</Characters>
  <Application>Microsoft Office Word</Application>
  <DocSecurity>0</DocSecurity>
  <Lines>243</Lines>
  <Paragraphs>45</Paragraphs>
  <ScaleCrop>false</ScaleCrop>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宏毅 张</dc:creator>
  <cp:keywords/>
  <dc:description/>
  <cp:lastModifiedBy>宏毅 张</cp:lastModifiedBy>
  <cp:revision>9</cp:revision>
  <dcterms:created xsi:type="dcterms:W3CDTF">2024-10-31T05:22:00Z</dcterms:created>
  <dcterms:modified xsi:type="dcterms:W3CDTF">2024-10-31T05:44:00Z</dcterms:modified>
</cp:coreProperties>
</file>