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76" w:lineRule="auto"/>
        <w:jc w:val="both"/>
        <w:rPr>
          <w:rFonts w:ascii="Palatino Linotype" w:cs="Palatino Linotype" w:eastAsia="Palatino Linotype" w:hAnsi="Palatino Linotype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4"/>
          <w:szCs w:val="24"/>
          <w:rtl w:val="0"/>
        </w:rPr>
        <w:t xml:space="preserve">Figure 1s - Effects of Surgical Revisions </w:t>
      </w:r>
      <w:r w:rsidDel="00000000" w:rsidR="00000000" w:rsidRPr="00000000">
        <w:rPr>
          <w:rFonts w:ascii="Palatino Linotype" w:cs="Palatino Linotype" w:eastAsia="Palatino Linotype" w:hAnsi="Palatino Linotype"/>
          <w:sz w:val="24"/>
          <w:szCs w:val="24"/>
          <w:rtl w:val="0"/>
        </w:rPr>
        <w:t xml:space="preserve">of Weight Loss (%WL) </w:t>
      </w:r>
      <w:r w:rsidDel="00000000" w:rsidR="00000000" w:rsidRPr="00000000">
        <w:rPr>
          <w:rFonts w:ascii="Palatino Linotype" w:cs="Palatino Linotype" w:eastAsia="Palatino Linotype" w:hAnsi="Palatino Linotype"/>
          <w:sz w:val="24"/>
          <w:szCs w:val="24"/>
          <w:rtl w:val="0"/>
        </w:rPr>
        <w:t xml:space="preserve"> After Sleeve Gastrectomy: Comparison of No Revision, Gastric Bypass and Mini Bypass</w:t>
      </w:r>
    </w:p>
    <w:p w:rsidR="00000000" w:rsidDel="00000000" w:rsidP="00000000" w:rsidRDefault="00000000" w:rsidRPr="00000000" w14:paraId="00000002">
      <w:pPr>
        <w:spacing w:line="276" w:lineRule="auto"/>
        <w:jc w:val="both"/>
        <w:rPr>
          <w:rFonts w:ascii="Palatino Linotype" w:cs="Palatino Linotype" w:eastAsia="Palatino Linotype" w:hAnsi="Palatino Linotyp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both"/>
        <w:rPr>
          <w:rFonts w:ascii="Palatino Linotype" w:cs="Palatino Linotype" w:eastAsia="Palatino Linotype" w:hAnsi="Palatino Linotyp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both"/>
        <w:rPr>
          <w:rFonts w:ascii="Palatino Linotype" w:cs="Palatino Linotype" w:eastAsia="Palatino Linotype" w:hAnsi="Palatino Linotype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5943600" cy="35687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8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Palatino Linotype" w:cs="Palatino Linotype" w:eastAsia="Palatino Linotype" w:hAnsi="Palatino Linotype"/>
          <w:b w:val="1"/>
          <w:sz w:val="20"/>
          <w:szCs w:val="20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0"/>
          <w:szCs w:val="20"/>
          <w:rtl w:val="0"/>
        </w:rPr>
        <w:t xml:space="preserve">Caption Figure 1s - Graph of the mean trajectory of the percentage weight loss (%WL) for patients who underwent LSG without revision, followed by RYGB and MGB, at 3, 6, 12, 24, 36, 48 and 60 months after surgery.</w:t>
      </w:r>
      <w:r w:rsidDel="00000000" w:rsidR="00000000" w:rsidRPr="00000000">
        <w:rPr>
          <w:rFonts w:ascii="Palatino Linotype" w:cs="Palatino Linotype" w:eastAsia="Palatino Linotype" w:hAnsi="Palatino Linotype"/>
          <w:sz w:val="20"/>
          <w:szCs w:val="20"/>
          <w:rtl w:val="0"/>
        </w:rPr>
        <w:t xml:space="preserve"> The p-values for differences between surgery groups at each time point were calculated using one-way ANOVA: 3 months (p = 0.085), 6 months (p = 0.070), 12 months (p &lt; 0.001), 24 months (p = 0.002), 36 months (p = 0.006), 48 months (p = 0.029), and 60 months (p = 0.142).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jc w:val="both"/>
        <w:rPr>
          <w:rFonts w:ascii="Palatino Linotype" w:cs="Palatino Linotype" w:eastAsia="Palatino Linotype" w:hAnsi="Palatino Linotyp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Palatino Linotype" w:cs="Palatino Linotype" w:eastAsia="Palatino Linotype" w:hAnsi="Palatino Linotyp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Palatino Linotype" w:cs="Palatino Linotype" w:eastAsia="Palatino Linotype" w:hAnsi="Palatino Linotype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4"/>
          <w:szCs w:val="24"/>
          <w:rtl w:val="0"/>
        </w:rPr>
        <w:t xml:space="preserve">Figure 2S - Comparison of Weight Loss (%WL) Over Time Between Revised and Non-Revised RYGB Patients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Palatino Linotype" w:cs="Palatino Linotype" w:eastAsia="Palatino Linotype" w:hAnsi="Palatino Linotype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4"/>
          <w:szCs w:val="24"/>
        </w:rPr>
        <w:drawing>
          <wp:inline distB="114300" distT="114300" distL="114300" distR="114300">
            <wp:extent cx="6062663" cy="3790950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062663" cy="37909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Palatino Linotype" w:cs="Palatino Linotype" w:eastAsia="Palatino Linotype" w:hAnsi="Palatino Linotype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Palatino Linotype" w:cs="Palatino Linotype" w:eastAsia="Palatino Linotype" w:hAnsi="Palatino Linotype"/>
          <w:b w:val="1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0"/>
          <w:szCs w:val="20"/>
          <w:rtl w:val="0"/>
        </w:rPr>
        <w:t xml:space="preserve">Figure 2S – Graph of the mean percentage weight loss (%WL) for patients who underwent Roux-en-Y gastric bypass (RYGB) with and without revisions at 3, 6, 12, 24, 36, 48, and 60 months after surgery. Statistical analysis using a t-test revealed significant differences between the two groups at multiple time points: 3 months (p = 0.126), 6 months (p = 0.025), 12 months (p = 0.033), 24 months (p = 0.003), 36 months (p = 0.011), 48 months (p = 0.347), and 60 months (p = 0.662).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Palatino Linotype" w:cs="Palatino Linotype" w:eastAsia="Palatino Linotype" w:hAnsi="Palatino Linotype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Palatino Linotype" w:cs="Palatino Linotype" w:eastAsia="Palatino Linotype" w:hAnsi="Palatino Linotyp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Palatino Linotype" w:cs="Palatino Linotype" w:eastAsia="Palatino Linotype" w:hAnsi="Palatino Linotype"/>
          <w:b w:val="1"/>
          <w:sz w:val="24"/>
          <w:szCs w:val="24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4"/>
          <w:szCs w:val="24"/>
          <w:rtl w:val="0"/>
        </w:rPr>
        <w:t xml:space="preserve">Table 1S - Nutrient Deficiencies Post-Bariatric Surgery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Palatino Linotype" w:cs="Palatino Linotype" w:eastAsia="Palatino Linotype" w:hAnsi="Palatino Linotype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83.0" w:type="dxa"/>
        <w:jc w:val="center"/>
        <w:tblLayout w:type="fixed"/>
        <w:tblLook w:val="0600"/>
      </w:tblPr>
      <w:tblGrid>
        <w:gridCol w:w="809"/>
        <w:gridCol w:w="1546"/>
        <w:gridCol w:w="1499"/>
        <w:gridCol w:w="1335"/>
        <w:gridCol w:w="1696"/>
        <w:gridCol w:w="1200"/>
        <w:gridCol w:w="1305"/>
        <w:gridCol w:w="1393"/>
        <w:tblGridChange w:id="0">
          <w:tblGrid>
            <w:gridCol w:w="809"/>
            <w:gridCol w:w="1546"/>
            <w:gridCol w:w="1499"/>
            <w:gridCol w:w="1335"/>
            <w:gridCol w:w="1696"/>
            <w:gridCol w:w="1200"/>
            <w:gridCol w:w="1305"/>
            <w:gridCol w:w="1393"/>
          </w:tblGrid>
        </w:tblGridChange>
      </w:tblGrid>
      <w:tr>
        <w:trPr>
          <w:cantSplit w:val="0"/>
          <w:trHeight w:val="12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d0d0d"/>
                <w:sz w:val="20"/>
                <w:szCs w:val="20"/>
                <w:rtl w:val="0"/>
              </w:rPr>
              <w:t xml:space="preserve">Supplements use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d0d0d"/>
                <w:sz w:val="20"/>
                <w:szCs w:val="20"/>
                <w:rtl w:val="0"/>
              </w:rPr>
              <w:t xml:space="preserve">Patients with Long Term deficiencies that do not take supplements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0d0d0d"/>
                <w:sz w:val="20"/>
                <w:szCs w:val="20"/>
                <w:rtl w:val="0"/>
              </w:rPr>
              <w:t xml:space="preserve">Nutrient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Roboto" w:cs="Roboto" w:eastAsia="Roboto" w:hAnsi="Roboto"/>
                <w:b w:val="1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0d0d0d"/>
                <w:sz w:val="20"/>
                <w:szCs w:val="20"/>
                <w:rtl w:val="0"/>
              </w:rPr>
              <w:t xml:space="preserve">Short-Term Deficiency - 1 year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0d0d0d"/>
                <w:sz w:val="20"/>
                <w:szCs w:val="20"/>
                <w:rtl w:val="0"/>
              </w:rPr>
              <w:t xml:space="preserve">(%)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Roboto" w:cs="Roboto" w:eastAsia="Roboto" w:hAnsi="Roboto"/>
                <w:b w:val="1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0d0d0d"/>
                <w:sz w:val="20"/>
                <w:szCs w:val="20"/>
                <w:rtl w:val="0"/>
              </w:rPr>
              <w:t xml:space="preserve">Long-Term Deficiency - from the 2nd year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0d0d0d"/>
                <w:sz w:val="20"/>
                <w:szCs w:val="20"/>
                <w:rtl w:val="0"/>
              </w:rPr>
              <w:t xml:space="preserve">(%)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b w:val="1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d0d0d"/>
                <w:sz w:val="20"/>
                <w:szCs w:val="20"/>
                <w:rtl w:val="0"/>
              </w:rPr>
              <w:t xml:space="preserve">New deficiency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d0d0d"/>
                <w:sz w:val="20"/>
                <w:szCs w:val="20"/>
                <w:rtl w:val="0"/>
              </w:rPr>
              <w:t xml:space="preserve">(long-term)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AGB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without revision (6)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rPr>
                <w:rFonts w:ascii="Roboto" w:cs="Roboto" w:eastAsia="Roboto" w:hAnsi="Roboto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16.7%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Roboto" w:cs="Roboto" w:eastAsia="Roboto" w:hAnsi="Roboto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16.7%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Iron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16.7%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2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Potassium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16.7%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16.7%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AGB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with revision (10)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80%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Iron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20%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20%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RYGB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without revision (43)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rPr>
                <w:rFonts w:ascii="Roboto" w:cs="Roboto" w:eastAsia="Roboto" w:hAnsi="Roboto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84%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Roboto" w:cs="Roboto" w:eastAsia="Roboto" w:hAnsi="Roboto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2.3%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Iron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18.6%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9.3%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4,7%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Vitamin 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18.6%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14%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11.6%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Folic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2.3%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4.7%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2.3%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Vitamin B12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7%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7%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4,7%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Gruppo 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4.7%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Vitamin 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2.3%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Protein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4.7%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RYGB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with revision (6)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rPr>
                <w:rFonts w:ascii="Roboto" w:cs="Roboto" w:eastAsia="Roboto" w:hAnsi="Roboto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83.3%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rFonts w:ascii="Roboto" w:cs="Roboto" w:eastAsia="Roboto" w:hAnsi="Roboto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Iron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66%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50%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33%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Vitamin 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50%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50%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33%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Folic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16.7%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50%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Potassium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16.7%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MGB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without revision (53)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rPr>
                <w:rFonts w:ascii="Roboto" w:cs="Roboto" w:eastAsia="Roboto" w:hAnsi="Roboto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90.6%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rFonts w:ascii="Roboto" w:cs="Roboto" w:eastAsia="Roboto" w:hAnsi="Roboto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Iron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13.2%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11.3%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5,7%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Vitamin 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11.3%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7.5 %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7.5 %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Calcio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1.9%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1.9%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1.9%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Potassio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1.9%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Vitamin B12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1.9%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1.9%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Vitamin 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1.9%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1.9%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MGB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with revision (1)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rPr>
                <w:rFonts w:ascii="Roboto" w:cs="Roboto" w:eastAsia="Roboto" w:hAnsi="Roboto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rPr>
                <w:rFonts w:ascii="Roboto" w:cs="Roboto" w:eastAsia="Roboto" w:hAnsi="Roboto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100%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Iron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100%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100%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100%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Vitamin B12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100%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LSG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without revision (97)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rPr>
                <w:rFonts w:ascii="Roboto" w:cs="Roboto" w:eastAsia="Roboto" w:hAnsi="Roboto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54.7%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11.3%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Iron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17.7%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9.4%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5.1%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Vitamin 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12.5 %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6.3%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2.1%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Calcio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Copper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Vitamin 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Protein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2.1%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Vitamin 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Zinc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Group B Vitamins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Folic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LSG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rPr>
                <w:rFonts w:ascii="Palatino Linotype" w:cs="Palatino Linotype" w:eastAsia="Palatino Linotype" w:hAnsi="Palatino Linotype"/>
                <w:sz w:val="24"/>
                <w:szCs w:val="24"/>
              </w:rPr>
            </w:pPr>
            <w:r w:rsidDel="00000000" w:rsidR="00000000" w:rsidRPr="00000000">
              <w:rPr>
                <w:rFonts w:ascii="Palatino Linotype" w:cs="Palatino Linotype" w:eastAsia="Palatino Linotype" w:hAnsi="Palatino Linotype"/>
                <w:sz w:val="24"/>
                <w:szCs w:val="24"/>
                <w:rtl w:val="0"/>
              </w:rPr>
              <w:t xml:space="preserve">with revision (21)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rPr>
                <w:rFonts w:ascii="Roboto" w:cs="Roboto" w:eastAsia="Roboto" w:hAnsi="Roboto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88.2%</w:t>
            </w:r>
          </w:p>
        </w:tc>
        <w:tc>
          <w:tcPr>
            <w:vMerge w:val="restart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rPr>
                <w:rFonts w:ascii="Roboto" w:cs="Roboto" w:eastAsia="Roboto" w:hAnsi="Roboto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Iron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41.2%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41.2%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14.3%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Vitamin 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23.5%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17.6%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4.7%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Vitamin B12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5.9%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11.8%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4.7%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Calcium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5.9%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Proteins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5.9%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Folic Acid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5.9%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4.7%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Zinc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5.9%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4.7%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Potassium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5.9%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Roboto" w:cs="Roboto" w:eastAsia="Roboto" w:hAnsi="Roboto"/>
                <w:color w:val="0d0d0d"/>
                <w:sz w:val="20"/>
                <w:szCs w:val="20"/>
                <w:rtl w:val="0"/>
              </w:rPr>
              <w:t xml:space="preserve">0%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B">
      <w:pPr>
        <w:spacing w:line="276" w:lineRule="auto"/>
        <w:jc w:val="both"/>
        <w:rPr>
          <w:rFonts w:ascii="Palatino Linotype" w:cs="Palatino Linotype" w:eastAsia="Palatino Linotype" w:hAnsi="Palatino Linotype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spacing w:line="276" w:lineRule="auto"/>
        <w:jc w:val="both"/>
        <w:rPr>
          <w:rFonts w:ascii="Palatino Linotype" w:cs="Palatino Linotype" w:eastAsia="Palatino Linotype" w:hAnsi="Palatino Linotype"/>
          <w:sz w:val="20"/>
          <w:szCs w:val="20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0"/>
          <w:szCs w:val="20"/>
          <w:rtl w:val="0"/>
        </w:rPr>
        <w:t xml:space="preserve">Caption Table 1S - The table compares nutrient deficiencies across different types of bariatric surgeries, both with and without revision, over short-term (1 year) and long-term periods (from the 2nd year onward). It highlights the prevalence of deficiencies in key nutrients. For revisions, AGB saw 5 conversions to MGB and 1 to LSG, 4 to RYGB; RYGB revisions included 5 to MGB and 1 to another RYGB. LSG revisions involved 52.9% to bypass, 35.3% to mini bypass, 5.9% to resleeve, and 5.9% to Roux-en-Y esophago-jejunostomy.</w:t>
      </w:r>
    </w:p>
    <w:p w:rsidR="00000000" w:rsidDel="00000000" w:rsidP="00000000" w:rsidRDefault="00000000" w:rsidRPr="00000000" w14:paraId="0000015D">
      <w:pPr>
        <w:shd w:fill="ffffff" w:val="clear"/>
        <w:spacing w:after="300" w:before="300" w:line="240" w:lineRule="auto"/>
        <w:jc w:val="both"/>
        <w:rPr>
          <w:rFonts w:ascii="Palatino Linotype" w:cs="Palatino Linotype" w:eastAsia="Palatino Linotype" w:hAnsi="Palatino Linotyp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alatino Linotyp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40.0" w:type="dxa"/>
        <w:left w:w="40.0" w:type="dxa"/>
        <w:bottom w:w="40.0" w:type="dxa"/>
        <w:right w:w="4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PalatinoLinotype-regular.ttf"/><Relationship Id="rId6" Type="http://schemas.openxmlformats.org/officeDocument/2006/relationships/font" Target="fonts/PalatinoLinotype-bold.ttf"/><Relationship Id="rId7" Type="http://schemas.openxmlformats.org/officeDocument/2006/relationships/font" Target="fonts/PalatinoLinotype-italic.ttf"/><Relationship Id="rId8" Type="http://schemas.openxmlformats.org/officeDocument/2006/relationships/font" Target="fonts/PalatinoLinotyp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