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04CFE" w14:textId="77777777" w:rsidR="002D09A5" w:rsidRDefault="002D09A5" w:rsidP="002D09A5">
      <w:pPr>
        <w:autoSpaceDE w:val="0"/>
        <w:autoSpaceDN w:val="0"/>
        <w:adjustRightInd w:val="0"/>
        <w:rPr>
          <w:b/>
          <w:bCs/>
          <w:color w:val="000000"/>
          <w:lang w:val="en-US"/>
        </w:rPr>
      </w:pPr>
      <w:r>
        <w:rPr>
          <w:b/>
          <w:bCs/>
          <w:color w:val="000000"/>
          <w:lang w:val="en-US"/>
        </w:rPr>
        <w:t>Supplemental Materials</w:t>
      </w:r>
    </w:p>
    <w:p w14:paraId="1BB68D9C" w14:textId="77777777" w:rsidR="002D09A5" w:rsidRDefault="002D09A5" w:rsidP="002D09A5">
      <w:pPr>
        <w:autoSpaceDE w:val="0"/>
        <w:autoSpaceDN w:val="0"/>
        <w:adjustRightInd w:val="0"/>
        <w:rPr>
          <w:b/>
          <w:bCs/>
          <w:color w:val="000000"/>
          <w:lang w:val="en-US"/>
        </w:rPr>
      </w:pPr>
    </w:p>
    <w:p w14:paraId="45634B46" w14:textId="0289F9A6" w:rsidR="002D09A5" w:rsidRPr="00F708F0" w:rsidRDefault="002D09A5" w:rsidP="002D09A5">
      <w:pPr>
        <w:autoSpaceDE w:val="0"/>
        <w:autoSpaceDN w:val="0"/>
        <w:adjustRightInd w:val="0"/>
        <w:rPr>
          <w:color w:val="000000"/>
          <w:lang w:val="en-US"/>
        </w:rPr>
      </w:pPr>
      <w:r>
        <w:rPr>
          <w:b/>
          <w:bCs/>
          <w:color w:val="000000"/>
          <w:lang w:val="en-US"/>
        </w:rPr>
        <w:t xml:space="preserve">Table S1: </w:t>
      </w:r>
      <w:r>
        <w:rPr>
          <w:color w:val="000000"/>
          <w:lang w:val="en-US"/>
        </w:rPr>
        <w:t xml:space="preserve">Details for all sites included within our study. Site names were given based on locations across Southern California with latitude and longitude coordinates given as decimal degrees. Foundation corresponds to the dominant shrub species observed in each site while aridity corresponds to each site’s </w:t>
      </w:r>
      <w:r w:rsidR="00B37AA4">
        <w:rPr>
          <w:color w:val="000000"/>
          <w:lang w:val="en-US"/>
        </w:rPr>
        <w:t>calculated</w:t>
      </w:r>
      <w:r>
        <w:rPr>
          <w:color w:val="000000"/>
          <w:lang w:val="en-US"/>
        </w:rPr>
        <w:t xml:space="preserve"> De </w:t>
      </w:r>
      <w:proofErr w:type="spellStart"/>
      <w:r>
        <w:rPr>
          <w:color w:val="000000"/>
          <w:lang w:val="en-US"/>
        </w:rPr>
        <w:t>Martonne</w:t>
      </w:r>
      <w:proofErr w:type="spellEnd"/>
      <w:r>
        <w:rPr>
          <w:color w:val="000000"/>
          <w:lang w:val="en-US"/>
        </w:rPr>
        <w:t xml:space="preserve"> aridity index.</w:t>
      </w:r>
    </w:p>
    <w:p w14:paraId="0D4B9FB7" w14:textId="77777777" w:rsidR="002D09A5" w:rsidRPr="00F708F0" w:rsidRDefault="002D09A5" w:rsidP="002D09A5">
      <w:pPr>
        <w:autoSpaceDE w:val="0"/>
        <w:autoSpaceDN w:val="0"/>
        <w:adjustRightInd w:val="0"/>
        <w:rPr>
          <w:b/>
          <w:bCs/>
          <w:color w:val="000000"/>
          <w:lang w:val="en-US"/>
        </w:rPr>
      </w:pPr>
    </w:p>
    <w:tbl>
      <w:tblPr>
        <w:tblStyle w:val="PlainTable3"/>
        <w:tblW w:w="0" w:type="auto"/>
        <w:tblLayout w:type="fixed"/>
        <w:tblLook w:val="04A0" w:firstRow="1" w:lastRow="0" w:firstColumn="1" w:lastColumn="0" w:noHBand="0" w:noVBand="1"/>
      </w:tblPr>
      <w:tblGrid>
        <w:gridCol w:w="3261"/>
        <w:gridCol w:w="1600"/>
        <w:gridCol w:w="1447"/>
        <w:gridCol w:w="1819"/>
        <w:gridCol w:w="1233"/>
      </w:tblGrid>
      <w:tr w:rsidR="002D09A5" w:rsidRPr="008E0F48" w14:paraId="045C5873" w14:textId="77777777" w:rsidTr="00926701">
        <w:trPr>
          <w:cnfStyle w:val="100000000000" w:firstRow="1" w:lastRow="0" w:firstColumn="0" w:lastColumn="0" w:oddVBand="0" w:evenVBand="0" w:oddHBand="0" w:evenHBand="0" w:firstRowFirstColumn="0" w:firstRowLastColumn="0" w:lastRowFirstColumn="0" w:lastRowLastColumn="0"/>
          <w:trHeight w:val="165"/>
        </w:trPr>
        <w:tc>
          <w:tcPr>
            <w:cnfStyle w:val="001000000100" w:firstRow="0" w:lastRow="0" w:firstColumn="1" w:lastColumn="0" w:oddVBand="0" w:evenVBand="0" w:oddHBand="0" w:evenHBand="0" w:firstRowFirstColumn="1" w:firstRowLastColumn="0" w:lastRowFirstColumn="0" w:lastRowLastColumn="0"/>
            <w:tcW w:w="3261" w:type="dxa"/>
            <w:hideMark/>
          </w:tcPr>
          <w:p w14:paraId="293AD672"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site</w:t>
            </w:r>
          </w:p>
        </w:tc>
        <w:tc>
          <w:tcPr>
            <w:tcW w:w="1600" w:type="dxa"/>
            <w:hideMark/>
          </w:tcPr>
          <w:p w14:paraId="51419846" w14:textId="77777777" w:rsidR="002D09A5" w:rsidRPr="002D3A78" w:rsidRDefault="002D09A5" w:rsidP="00926701">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longitude</w:t>
            </w:r>
          </w:p>
        </w:tc>
        <w:tc>
          <w:tcPr>
            <w:tcW w:w="1447" w:type="dxa"/>
            <w:hideMark/>
          </w:tcPr>
          <w:p w14:paraId="5C7B8C7F" w14:textId="77777777" w:rsidR="002D09A5" w:rsidRPr="002D3A78" w:rsidRDefault="002D09A5" w:rsidP="00926701">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latitude</w:t>
            </w:r>
          </w:p>
        </w:tc>
        <w:tc>
          <w:tcPr>
            <w:tcW w:w="1819" w:type="dxa"/>
            <w:hideMark/>
          </w:tcPr>
          <w:p w14:paraId="0AC9C087" w14:textId="77777777" w:rsidR="002D09A5" w:rsidRPr="002D3A78" w:rsidRDefault="002D09A5" w:rsidP="00926701">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foundation</w:t>
            </w:r>
          </w:p>
        </w:tc>
        <w:tc>
          <w:tcPr>
            <w:tcW w:w="1233" w:type="dxa"/>
            <w:hideMark/>
          </w:tcPr>
          <w:p w14:paraId="78EBAD18" w14:textId="77777777" w:rsidR="002D09A5" w:rsidRPr="002D3A78" w:rsidRDefault="002D09A5" w:rsidP="00926701">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aridity</w:t>
            </w:r>
          </w:p>
        </w:tc>
      </w:tr>
      <w:tr w:rsidR="002D09A5" w:rsidRPr="008E0F48" w14:paraId="45DCF6C2" w14:textId="77777777" w:rsidTr="00926701">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3261" w:type="dxa"/>
            <w:hideMark/>
          </w:tcPr>
          <w:p w14:paraId="65B9E873"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Antelope_valley</w:t>
            </w:r>
          </w:p>
        </w:tc>
        <w:tc>
          <w:tcPr>
            <w:tcW w:w="1600" w:type="dxa"/>
            <w:hideMark/>
          </w:tcPr>
          <w:p w14:paraId="28177838"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-118.602041</w:t>
            </w:r>
          </w:p>
        </w:tc>
        <w:tc>
          <w:tcPr>
            <w:tcW w:w="1447" w:type="dxa"/>
            <w:hideMark/>
          </w:tcPr>
          <w:p w14:paraId="276BBA29"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34.87623299</w:t>
            </w:r>
          </w:p>
        </w:tc>
        <w:tc>
          <w:tcPr>
            <w:tcW w:w="1819" w:type="dxa"/>
            <w:hideMark/>
          </w:tcPr>
          <w:p w14:paraId="6AD18B1D"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03D2B7AC"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5.32</w:t>
            </w:r>
          </w:p>
        </w:tc>
      </w:tr>
      <w:tr w:rsidR="002D09A5" w:rsidRPr="008E0F48" w14:paraId="5B2ED7FA" w14:textId="77777777" w:rsidTr="00926701">
        <w:trPr>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48F34FEF"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Avenal</w:t>
            </w:r>
          </w:p>
        </w:tc>
        <w:tc>
          <w:tcPr>
            <w:tcW w:w="1600" w:type="dxa"/>
            <w:hideMark/>
          </w:tcPr>
          <w:p w14:paraId="394E6D66"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-120.101809</w:t>
            </w:r>
          </w:p>
        </w:tc>
        <w:tc>
          <w:tcPr>
            <w:tcW w:w="1447" w:type="dxa"/>
            <w:hideMark/>
          </w:tcPr>
          <w:p w14:paraId="10C7B946"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36.062187</w:t>
            </w:r>
          </w:p>
        </w:tc>
        <w:tc>
          <w:tcPr>
            <w:tcW w:w="1819" w:type="dxa"/>
            <w:hideMark/>
          </w:tcPr>
          <w:p w14:paraId="591B7663"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0D99AA81"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6.19</w:t>
            </w:r>
          </w:p>
        </w:tc>
      </w:tr>
      <w:tr w:rsidR="002D09A5" w:rsidRPr="008E0F48" w14:paraId="0BBF16DB" w14:textId="77777777" w:rsidTr="00926701">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2F2065BE"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Carrizo_1</w:t>
            </w:r>
          </w:p>
        </w:tc>
        <w:tc>
          <w:tcPr>
            <w:tcW w:w="1600" w:type="dxa"/>
            <w:hideMark/>
          </w:tcPr>
          <w:p w14:paraId="08EBEE49"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-119.72495</w:t>
            </w:r>
          </w:p>
        </w:tc>
        <w:tc>
          <w:tcPr>
            <w:tcW w:w="1447" w:type="dxa"/>
            <w:hideMark/>
          </w:tcPr>
          <w:p w14:paraId="5E212C34"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35.20177</w:t>
            </w:r>
          </w:p>
        </w:tc>
        <w:tc>
          <w:tcPr>
            <w:tcW w:w="1819" w:type="dxa"/>
            <w:hideMark/>
          </w:tcPr>
          <w:p w14:paraId="39A99DE2"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3B1ABC85"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6.15</w:t>
            </w:r>
          </w:p>
        </w:tc>
      </w:tr>
      <w:tr w:rsidR="002D09A5" w:rsidRPr="008E0F48" w14:paraId="398F85B7" w14:textId="77777777" w:rsidTr="00926701">
        <w:trPr>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3CDC8F8C"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Cuyama_1</w:t>
            </w:r>
          </w:p>
        </w:tc>
        <w:tc>
          <w:tcPr>
            <w:tcW w:w="1600" w:type="dxa"/>
            <w:hideMark/>
          </w:tcPr>
          <w:p w14:paraId="747BCC57"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-119.483117</w:t>
            </w:r>
          </w:p>
        </w:tc>
        <w:tc>
          <w:tcPr>
            <w:tcW w:w="1447" w:type="dxa"/>
            <w:hideMark/>
          </w:tcPr>
          <w:p w14:paraId="4C5B27AE"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34.84872602</w:t>
            </w:r>
          </w:p>
        </w:tc>
        <w:tc>
          <w:tcPr>
            <w:tcW w:w="1819" w:type="dxa"/>
            <w:hideMark/>
          </w:tcPr>
          <w:p w14:paraId="600E24A3"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19A066AC"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5.67</w:t>
            </w:r>
          </w:p>
        </w:tc>
      </w:tr>
      <w:tr w:rsidR="002D09A5" w:rsidRPr="008E0F48" w14:paraId="27AEAAA3" w14:textId="77777777" w:rsidTr="00926701">
        <w:trPr>
          <w:cnfStyle w:val="000000100000" w:firstRow="0" w:lastRow="0" w:firstColumn="0" w:lastColumn="0" w:oddVBand="0" w:evenVBand="0" w:oddHBand="1"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3261" w:type="dxa"/>
            <w:hideMark/>
          </w:tcPr>
          <w:p w14:paraId="52097DEB"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Kelso_5</w:t>
            </w:r>
          </w:p>
        </w:tc>
        <w:tc>
          <w:tcPr>
            <w:tcW w:w="1600" w:type="dxa"/>
            <w:hideMark/>
          </w:tcPr>
          <w:p w14:paraId="5130824D"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-115.664356</w:t>
            </w:r>
          </w:p>
        </w:tc>
        <w:tc>
          <w:tcPr>
            <w:tcW w:w="1447" w:type="dxa"/>
            <w:hideMark/>
          </w:tcPr>
          <w:p w14:paraId="4D03AD52"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35.061279</w:t>
            </w:r>
          </w:p>
        </w:tc>
        <w:tc>
          <w:tcPr>
            <w:tcW w:w="1819" w:type="dxa"/>
            <w:hideMark/>
          </w:tcPr>
          <w:p w14:paraId="211D0B77"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Larrea tridentata</w:t>
            </w:r>
          </w:p>
        </w:tc>
        <w:tc>
          <w:tcPr>
            <w:tcW w:w="1233" w:type="dxa"/>
            <w:hideMark/>
          </w:tcPr>
          <w:p w14:paraId="724DA48D"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4.73</w:t>
            </w:r>
          </w:p>
        </w:tc>
      </w:tr>
      <w:tr w:rsidR="002D09A5" w:rsidRPr="008E0F48" w14:paraId="17ECE673" w14:textId="77777777" w:rsidTr="00926701">
        <w:trPr>
          <w:trHeight w:val="361"/>
        </w:trPr>
        <w:tc>
          <w:tcPr>
            <w:cnfStyle w:val="001000000000" w:firstRow="0" w:lastRow="0" w:firstColumn="1" w:lastColumn="0" w:oddVBand="0" w:evenVBand="0" w:oddHBand="0" w:evenHBand="0" w:firstRowFirstColumn="0" w:firstRowLastColumn="0" w:lastRowFirstColumn="0" w:lastRowLastColumn="0"/>
            <w:tcW w:w="3261" w:type="dxa"/>
            <w:hideMark/>
          </w:tcPr>
          <w:p w14:paraId="72D4FAF7"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Mojave_1</w:t>
            </w:r>
          </w:p>
        </w:tc>
        <w:tc>
          <w:tcPr>
            <w:tcW w:w="1600" w:type="dxa"/>
            <w:hideMark/>
          </w:tcPr>
          <w:p w14:paraId="6FACC812"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-116.0472333</w:t>
            </w:r>
          </w:p>
        </w:tc>
        <w:tc>
          <w:tcPr>
            <w:tcW w:w="1447" w:type="dxa"/>
            <w:hideMark/>
          </w:tcPr>
          <w:p w14:paraId="52843B6C"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35.25608333</w:t>
            </w:r>
          </w:p>
        </w:tc>
        <w:tc>
          <w:tcPr>
            <w:tcW w:w="1819" w:type="dxa"/>
            <w:hideMark/>
          </w:tcPr>
          <w:p w14:paraId="35E872D4"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Larrea tridentata</w:t>
            </w:r>
          </w:p>
        </w:tc>
        <w:tc>
          <w:tcPr>
            <w:tcW w:w="1233" w:type="dxa"/>
            <w:hideMark/>
          </w:tcPr>
          <w:p w14:paraId="318A0BA1"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4.99</w:t>
            </w:r>
          </w:p>
        </w:tc>
      </w:tr>
      <w:tr w:rsidR="002D09A5" w:rsidRPr="008E0F48" w14:paraId="600ECABA" w14:textId="77777777" w:rsidTr="00926701">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76517DC6"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Panoche_1</w:t>
            </w:r>
          </w:p>
        </w:tc>
        <w:tc>
          <w:tcPr>
            <w:tcW w:w="1600" w:type="dxa"/>
            <w:hideMark/>
          </w:tcPr>
          <w:p w14:paraId="2F531762"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-120.7972</w:t>
            </w:r>
          </w:p>
        </w:tc>
        <w:tc>
          <w:tcPr>
            <w:tcW w:w="1447" w:type="dxa"/>
            <w:hideMark/>
          </w:tcPr>
          <w:p w14:paraId="21B4C739"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36.69533</w:t>
            </w:r>
          </w:p>
        </w:tc>
        <w:tc>
          <w:tcPr>
            <w:tcW w:w="1819" w:type="dxa"/>
            <w:hideMark/>
          </w:tcPr>
          <w:p w14:paraId="2F4B8729"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7F8D053C"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7.31</w:t>
            </w:r>
          </w:p>
        </w:tc>
      </w:tr>
      <w:tr w:rsidR="002D09A5" w:rsidRPr="008E0F48" w14:paraId="38D67671" w14:textId="77777777" w:rsidTr="00926701">
        <w:trPr>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32842C0B"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Panoche_silvercreek</w:t>
            </w:r>
          </w:p>
        </w:tc>
        <w:tc>
          <w:tcPr>
            <w:tcW w:w="1600" w:type="dxa"/>
            <w:hideMark/>
          </w:tcPr>
          <w:p w14:paraId="139A801C"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-120.688315</w:t>
            </w:r>
          </w:p>
        </w:tc>
        <w:tc>
          <w:tcPr>
            <w:tcW w:w="1447" w:type="dxa"/>
            <w:hideMark/>
          </w:tcPr>
          <w:p w14:paraId="29316B0B"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36.585782</w:t>
            </w:r>
          </w:p>
        </w:tc>
        <w:tc>
          <w:tcPr>
            <w:tcW w:w="1819" w:type="dxa"/>
            <w:hideMark/>
          </w:tcPr>
          <w:p w14:paraId="67E459AA"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3E50B257"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6.71</w:t>
            </w:r>
          </w:p>
        </w:tc>
      </w:tr>
      <w:tr w:rsidR="002D09A5" w:rsidRPr="008E0F48" w14:paraId="460B0909" w14:textId="77777777" w:rsidTr="00926701">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168AA7CB"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Semitropic</w:t>
            </w:r>
          </w:p>
        </w:tc>
        <w:tc>
          <w:tcPr>
            <w:tcW w:w="1600" w:type="dxa"/>
            <w:hideMark/>
          </w:tcPr>
          <w:p w14:paraId="6053C8F2"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-119.6072509</w:t>
            </w:r>
          </w:p>
        </w:tc>
        <w:tc>
          <w:tcPr>
            <w:tcW w:w="1447" w:type="dxa"/>
            <w:hideMark/>
          </w:tcPr>
          <w:p w14:paraId="0950E095"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35.65927718</w:t>
            </w:r>
          </w:p>
        </w:tc>
        <w:tc>
          <w:tcPr>
            <w:tcW w:w="1819" w:type="dxa"/>
            <w:hideMark/>
          </w:tcPr>
          <w:p w14:paraId="7EC4607C"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Ephedra californica</w:t>
            </w:r>
          </w:p>
        </w:tc>
        <w:tc>
          <w:tcPr>
            <w:tcW w:w="1233" w:type="dxa"/>
            <w:hideMark/>
          </w:tcPr>
          <w:p w14:paraId="4EB66344" w14:textId="77777777" w:rsidR="002D09A5" w:rsidRPr="002D3A78" w:rsidRDefault="002D09A5" w:rsidP="0092670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color w:val="000000"/>
                <w:sz w:val="22"/>
                <w:szCs w:val="22"/>
              </w:rPr>
            </w:pPr>
            <w:r w:rsidRPr="002D3A78">
              <w:rPr>
                <w:color w:val="000000"/>
                <w:sz w:val="22"/>
                <w:szCs w:val="22"/>
              </w:rPr>
              <w:t>6.01</w:t>
            </w:r>
          </w:p>
        </w:tc>
      </w:tr>
      <w:tr w:rsidR="002D09A5" w:rsidRPr="008E0F48" w14:paraId="19792E45" w14:textId="77777777" w:rsidTr="00926701">
        <w:trPr>
          <w:trHeight w:val="165"/>
        </w:trPr>
        <w:tc>
          <w:tcPr>
            <w:cnfStyle w:val="001000000000" w:firstRow="0" w:lastRow="0" w:firstColumn="1" w:lastColumn="0" w:oddVBand="0" w:evenVBand="0" w:oddHBand="0" w:evenHBand="0" w:firstRowFirstColumn="0" w:firstRowLastColumn="0" w:lastRowFirstColumn="0" w:lastRowLastColumn="0"/>
            <w:tcW w:w="3261" w:type="dxa"/>
            <w:hideMark/>
          </w:tcPr>
          <w:p w14:paraId="3066763D" w14:textId="77777777" w:rsidR="002D09A5" w:rsidRPr="002D3A78" w:rsidRDefault="002D09A5" w:rsidP="00926701">
            <w:pPr>
              <w:pStyle w:val="NormalWeb"/>
              <w:spacing w:before="0" w:beforeAutospacing="0" w:after="0" w:afterAutospacing="0"/>
              <w:rPr>
                <w:color w:val="000000"/>
                <w:sz w:val="22"/>
                <w:szCs w:val="22"/>
              </w:rPr>
            </w:pPr>
            <w:r w:rsidRPr="002D3A78">
              <w:rPr>
                <w:color w:val="000000"/>
                <w:sz w:val="22"/>
                <w:szCs w:val="22"/>
              </w:rPr>
              <w:t>Tecopa_open</w:t>
            </w:r>
          </w:p>
        </w:tc>
        <w:tc>
          <w:tcPr>
            <w:tcW w:w="1600" w:type="dxa"/>
            <w:hideMark/>
          </w:tcPr>
          <w:p w14:paraId="65D2BF13"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-116.17866</w:t>
            </w:r>
          </w:p>
        </w:tc>
        <w:tc>
          <w:tcPr>
            <w:tcW w:w="1447" w:type="dxa"/>
            <w:hideMark/>
          </w:tcPr>
          <w:p w14:paraId="60F92F97"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35.85474</w:t>
            </w:r>
          </w:p>
        </w:tc>
        <w:tc>
          <w:tcPr>
            <w:tcW w:w="1819" w:type="dxa"/>
            <w:hideMark/>
          </w:tcPr>
          <w:p w14:paraId="52A39F14"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none</w:t>
            </w:r>
          </w:p>
        </w:tc>
        <w:tc>
          <w:tcPr>
            <w:tcW w:w="1233" w:type="dxa"/>
            <w:hideMark/>
          </w:tcPr>
          <w:p w14:paraId="6A1A9954" w14:textId="77777777" w:rsidR="002D09A5" w:rsidRPr="002D3A78" w:rsidRDefault="002D09A5" w:rsidP="00926701">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color w:val="000000"/>
                <w:sz w:val="22"/>
                <w:szCs w:val="22"/>
              </w:rPr>
            </w:pPr>
            <w:r w:rsidRPr="002D3A78">
              <w:rPr>
                <w:color w:val="000000"/>
                <w:sz w:val="22"/>
                <w:szCs w:val="22"/>
              </w:rPr>
              <w:t>5.48</w:t>
            </w:r>
          </w:p>
        </w:tc>
      </w:tr>
    </w:tbl>
    <w:p w14:paraId="58F0BF1E" w14:textId="77777777" w:rsidR="002D09A5" w:rsidRDefault="002D09A5" w:rsidP="002D09A5">
      <w:pPr>
        <w:rPr>
          <w:b/>
          <w:bCs/>
          <w:color w:val="000000"/>
          <w:lang w:val="en-US"/>
        </w:rPr>
      </w:pPr>
      <w:r>
        <w:rPr>
          <w:b/>
          <w:bCs/>
          <w:color w:val="000000"/>
          <w:lang w:val="en-US"/>
        </w:rPr>
        <w:t xml:space="preserve"> </w:t>
      </w:r>
      <w:r>
        <w:rPr>
          <w:b/>
          <w:bCs/>
          <w:color w:val="000000"/>
          <w:lang w:val="en-US"/>
        </w:rPr>
        <w:br w:type="page"/>
      </w:r>
    </w:p>
    <w:p w14:paraId="26E0C8A1" w14:textId="77777777" w:rsidR="002D09A5" w:rsidRPr="00DF3CC5" w:rsidRDefault="002D09A5" w:rsidP="002D09A5">
      <w:pPr>
        <w:autoSpaceDE w:val="0"/>
        <w:autoSpaceDN w:val="0"/>
        <w:adjustRightInd w:val="0"/>
        <w:rPr>
          <w:color w:val="000000"/>
          <w:lang w:val="en-US"/>
        </w:rPr>
      </w:pPr>
      <w:r>
        <w:rPr>
          <w:b/>
          <w:bCs/>
          <w:color w:val="000000"/>
          <w:lang w:val="en-US"/>
        </w:rPr>
        <w:lastRenderedPageBreak/>
        <w:t xml:space="preserve">Table S2: </w:t>
      </w:r>
      <w:r w:rsidRPr="00DF3CC5">
        <w:rPr>
          <w:color w:val="000000"/>
          <w:lang w:val="en-US"/>
        </w:rPr>
        <w:t xml:space="preserve">Models of best fit with linear and second order polynomial curves contrasted using the </w:t>
      </w:r>
      <w:proofErr w:type="spellStart"/>
      <w:r w:rsidRPr="00DF3CC5">
        <w:rPr>
          <w:color w:val="000000"/>
          <w:lang w:val="en-US"/>
        </w:rPr>
        <w:t>compare_performance</w:t>
      </w:r>
      <w:proofErr w:type="spellEnd"/>
      <w:r w:rsidRPr="00DF3CC5">
        <w:rPr>
          <w:color w:val="000000"/>
          <w:lang w:val="en-US"/>
        </w:rPr>
        <w:t xml:space="preserve"> function from the ‘performance’ R package.</w:t>
      </w:r>
    </w:p>
    <w:p w14:paraId="187D7D17" w14:textId="77777777" w:rsidR="002D09A5" w:rsidRDefault="002D09A5" w:rsidP="002D09A5">
      <w:pPr>
        <w:autoSpaceDE w:val="0"/>
        <w:autoSpaceDN w:val="0"/>
        <w:adjustRightInd w:val="0"/>
        <w:rPr>
          <w:b/>
          <w:bCs/>
          <w:color w:val="000000"/>
          <w:lang w:val="en-US"/>
        </w:rPr>
      </w:pPr>
    </w:p>
    <w:p w14:paraId="2134A277" w14:textId="77777777" w:rsidR="002D09A5" w:rsidRDefault="002D09A5" w:rsidP="002D09A5">
      <w:pPr>
        <w:autoSpaceDE w:val="0"/>
        <w:autoSpaceDN w:val="0"/>
        <w:adjustRightInd w:val="0"/>
        <w:rPr>
          <w:b/>
          <w:bCs/>
          <w:color w:val="000000"/>
          <w:lang w:val="en-US"/>
        </w:rPr>
      </w:pPr>
    </w:p>
    <w:tbl>
      <w:tblPr>
        <w:tblStyle w:val="PlainTable3"/>
        <w:tblW w:w="0" w:type="auto"/>
        <w:jc w:val="center"/>
        <w:tblLayout w:type="fixed"/>
        <w:tblLook w:val="0000" w:firstRow="0" w:lastRow="0" w:firstColumn="0" w:lastColumn="0" w:noHBand="0" w:noVBand="0"/>
      </w:tblPr>
      <w:tblGrid>
        <w:gridCol w:w="2268"/>
        <w:gridCol w:w="2321"/>
        <w:gridCol w:w="1140"/>
        <w:gridCol w:w="2351"/>
      </w:tblGrid>
      <w:tr w:rsidR="002D09A5" w14:paraId="649D7F93" w14:textId="77777777" w:rsidTr="00926701">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2268" w:type="dxa"/>
          </w:tcPr>
          <w:p w14:paraId="7B49712A" w14:textId="77777777" w:rsidR="002D09A5" w:rsidRPr="00DF3CC5" w:rsidRDefault="002D09A5" w:rsidP="00926701">
            <w:pPr>
              <w:autoSpaceDE w:val="0"/>
              <w:autoSpaceDN w:val="0"/>
              <w:adjustRightInd w:val="0"/>
              <w:rPr>
                <w:rFonts w:ascii="Helvetica" w:hAnsi="Helvetica" w:cs="Helvetica"/>
                <w:lang w:val="en-US"/>
              </w:rPr>
            </w:pPr>
            <w:r w:rsidRPr="00DF3CC5">
              <w:rPr>
                <w:b/>
                <w:bCs/>
                <w:color w:val="000000"/>
                <w:lang w:val="en-US"/>
              </w:rPr>
              <w:t>response</w:t>
            </w:r>
          </w:p>
        </w:tc>
        <w:tc>
          <w:tcPr>
            <w:tcW w:w="2321" w:type="dxa"/>
          </w:tcPr>
          <w:p w14:paraId="4B875277"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b/>
                <w:bCs/>
                <w:color w:val="000000"/>
                <w:lang w:val="en-US"/>
              </w:rPr>
              <w:t>model</w:t>
            </w:r>
          </w:p>
        </w:tc>
        <w:tc>
          <w:tcPr>
            <w:cnfStyle w:val="000010000000" w:firstRow="0" w:lastRow="0" w:firstColumn="0" w:lastColumn="0" w:oddVBand="1" w:evenVBand="0" w:oddHBand="0" w:evenHBand="0" w:firstRowFirstColumn="0" w:firstRowLastColumn="0" w:lastRowFirstColumn="0" w:lastRowLastColumn="0"/>
            <w:tcW w:w="1140" w:type="dxa"/>
          </w:tcPr>
          <w:p w14:paraId="217382F6" w14:textId="77777777" w:rsidR="002D09A5" w:rsidRPr="00DF3CC5" w:rsidRDefault="002D09A5" w:rsidP="00926701">
            <w:pPr>
              <w:autoSpaceDE w:val="0"/>
              <w:autoSpaceDN w:val="0"/>
              <w:adjustRightInd w:val="0"/>
              <w:rPr>
                <w:rFonts w:ascii="Helvetica" w:hAnsi="Helvetica" w:cs="Helvetica"/>
                <w:lang w:val="en-US"/>
              </w:rPr>
            </w:pPr>
            <w:proofErr w:type="spellStart"/>
            <w:r w:rsidRPr="00DF3CC5">
              <w:rPr>
                <w:b/>
                <w:bCs/>
                <w:color w:val="000000"/>
                <w:lang w:val="en-US"/>
              </w:rPr>
              <w:t>Nagelkerke's</w:t>
            </w:r>
            <w:proofErr w:type="spellEnd"/>
            <w:r w:rsidRPr="00DF3CC5">
              <w:rPr>
                <w:b/>
                <w:bCs/>
                <w:color w:val="000000"/>
                <w:lang w:val="en-US"/>
              </w:rPr>
              <w:t xml:space="preserve"> R2 </w:t>
            </w:r>
          </w:p>
        </w:tc>
        <w:tc>
          <w:tcPr>
            <w:tcW w:w="2351" w:type="dxa"/>
          </w:tcPr>
          <w:p w14:paraId="6773E823"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b/>
                <w:bCs/>
                <w:color w:val="000000"/>
                <w:lang w:val="en-US"/>
              </w:rPr>
              <w:t>RMSE</w:t>
            </w:r>
          </w:p>
        </w:tc>
      </w:tr>
      <w:tr w:rsidR="002D09A5" w14:paraId="59DAD3BB" w14:textId="77777777" w:rsidTr="00926701">
        <w:trPr>
          <w:jc w:val="center"/>
        </w:trPr>
        <w:tc>
          <w:tcPr>
            <w:cnfStyle w:val="000010000000" w:firstRow="0" w:lastRow="0" w:firstColumn="0" w:lastColumn="0" w:oddVBand="1" w:evenVBand="0" w:oddHBand="0" w:evenHBand="0" w:firstRowFirstColumn="0" w:firstRowLastColumn="0" w:lastRowFirstColumn="0" w:lastRowLastColumn="0"/>
            <w:tcW w:w="2268" w:type="dxa"/>
          </w:tcPr>
          <w:p w14:paraId="093403B8" w14:textId="77777777" w:rsidR="002D09A5" w:rsidRPr="00DF3CC5" w:rsidRDefault="002D09A5" w:rsidP="00926701">
            <w:pPr>
              <w:autoSpaceDE w:val="0"/>
              <w:autoSpaceDN w:val="0"/>
              <w:adjustRightInd w:val="0"/>
              <w:rPr>
                <w:rFonts w:ascii="Helvetica" w:hAnsi="Helvetica" w:cs="Helvetica"/>
                <w:lang w:val="en-US"/>
              </w:rPr>
            </w:pPr>
            <w:r w:rsidRPr="00DF3CC5">
              <w:rPr>
                <w:b/>
                <w:bCs/>
                <w:color w:val="000000"/>
                <w:lang w:val="en-US"/>
              </w:rPr>
              <w:t>observations hourly</w:t>
            </w:r>
          </w:p>
        </w:tc>
        <w:tc>
          <w:tcPr>
            <w:tcW w:w="2321" w:type="dxa"/>
          </w:tcPr>
          <w:p w14:paraId="2B7F711A" w14:textId="77777777" w:rsidR="002D09A5" w:rsidRPr="00DF3CC5" w:rsidRDefault="002D09A5" w:rsidP="0092670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Helvetica" w:hAnsi="Helvetica" w:cs="Helvetica"/>
                <w:lang w:val="en-US"/>
              </w:rPr>
            </w:pPr>
            <w:r w:rsidRPr="00DF3CC5">
              <w:rPr>
                <w:color w:val="000000"/>
                <w:lang w:val="en-US"/>
              </w:rPr>
              <w:t>linear</w:t>
            </w:r>
          </w:p>
        </w:tc>
        <w:tc>
          <w:tcPr>
            <w:cnfStyle w:val="000010000000" w:firstRow="0" w:lastRow="0" w:firstColumn="0" w:lastColumn="0" w:oddVBand="1" w:evenVBand="0" w:oddHBand="0" w:evenHBand="0" w:firstRowFirstColumn="0" w:firstRowLastColumn="0" w:lastRowFirstColumn="0" w:lastRowLastColumn="0"/>
            <w:tcW w:w="1140" w:type="dxa"/>
          </w:tcPr>
          <w:p w14:paraId="5322C251" w14:textId="77777777" w:rsidR="002D09A5" w:rsidRPr="00DF3CC5" w:rsidRDefault="002D09A5" w:rsidP="00926701">
            <w:pPr>
              <w:autoSpaceDE w:val="0"/>
              <w:autoSpaceDN w:val="0"/>
              <w:adjustRightInd w:val="0"/>
              <w:rPr>
                <w:rFonts w:ascii="Helvetica" w:hAnsi="Helvetica" w:cs="Helvetica"/>
                <w:lang w:val="en-US"/>
              </w:rPr>
            </w:pPr>
            <w:r w:rsidRPr="00DF3CC5">
              <w:rPr>
                <w:color w:val="000000"/>
                <w:lang w:val="en-US"/>
              </w:rPr>
              <w:t>0.975</w:t>
            </w:r>
          </w:p>
        </w:tc>
        <w:tc>
          <w:tcPr>
            <w:tcW w:w="2351" w:type="dxa"/>
          </w:tcPr>
          <w:p w14:paraId="77858F63" w14:textId="77777777" w:rsidR="002D09A5" w:rsidRPr="00DF3CC5" w:rsidRDefault="002D09A5" w:rsidP="0092670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Helvetica" w:hAnsi="Helvetica" w:cs="Helvetica"/>
                <w:lang w:val="en-US"/>
              </w:rPr>
            </w:pPr>
            <w:r w:rsidRPr="00DF3CC5">
              <w:rPr>
                <w:color w:val="000000"/>
                <w:lang w:val="en-US"/>
              </w:rPr>
              <w:t>6.11</w:t>
            </w:r>
          </w:p>
        </w:tc>
      </w:tr>
      <w:tr w:rsidR="002D09A5" w14:paraId="3F309F9F" w14:textId="77777777" w:rsidTr="00926701">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2268" w:type="dxa"/>
          </w:tcPr>
          <w:p w14:paraId="3AF9960F" w14:textId="77777777" w:rsidR="002D09A5" w:rsidRPr="00DF3CC5" w:rsidRDefault="002D09A5" w:rsidP="009267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tc>
        <w:tc>
          <w:tcPr>
            <w:tcW w:w="2321" w:type="dxa"/>
          </w:tcPr>
          <w:p w14:paraId="13FE9139"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color w:val="000000"/>
                <w:lang w:val="en-US"/>
              </w:rPr>
              <w:t>second-order polynomial</w:t>
            </w:r>
          </w:p>
        </w:tc>
        <w:tc>
          <w:tcPr>
            <w:cnfStyle w:val="000010000000" w:firstRow="0" w:lastRow="0" w:firstColumn="0" w:lastColumn="0" w:oddVBand="1" w:evenVBand="0" w:oddHBand="0" w:evenHBand="0" w:firstRowFirstColumn="0" w:firstRowLastColumn="0" w:lastRowFirstColumn="0" w:lastRowLastColumn="0"/>
            <w:tcW w:w="1140" w:type="dxa"/>
          </w:tcPr>
          <w:p w14:paraId="2815EE08" w14:textId="77777777" w:rsidR="002D09A5" w:rsidRPr="00DF3CC5" w:rsidRDefault="002D09A5" w:rsidP="00926701">
            <w:pPr>
              <w:autoSpaceDE w:val="0"/>
              <w:autoSpaceDN w:val="0"/>
              <w:adjustRightInd w:val="0"/>
              <w:rPr>
                <w:rFonts w:ascii="Helvetica" w:hAnsi="Helvetica" w:cs="Helvetica"/>
                <w:lang w:val="en-US"/>
              </w:rPr>
            </w:pPr>
            <w:r w:rsidRPr="00DF3CC5">
              <w:rPr>
                <w:color w:val="000000"/>
                <w:lang w:val="en-US"/>
              </w:rPr>
              <w:t>0.99</w:t>
            </w:r>
          </w:p>
        </w:tc>
        <w:tc>
          <w:tcPr>
            <w:tcW w:w="2351" w:type="dxa"/>
          </w:tcPr>
          <w:p w14:paraId="6C5976D4"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color w:val="000000"/>
                <w:lang w:val="en-US"/>
              </w:rPr>
              <w:t>5</w:t>
            </w:r>
          </w:p>
        </w:tc>
      </w:tr>
      <w:tr w:rsidR="002D09A5" w14:paraId="30C47BB6" w14:textId="77777777" w:rsidTr="00926701">
        <w:trPr>
          <w:jc w:val="center"/>
        </w:trPr>
        <w:tc>
          <w:tcPr>
            <w:cnfStyle w:val="000010000000" w:firstRow="0" w:lastRow="0" w:firstColumn="0" w:lastColumn="0" w:oddVBand="1" w:evenVBand="0" w:oddHBand="0" w:evenHBand="0" w:firstRowFirstColumn="0" w:firstRowLastColumn="0" w:lastRowFirstColumn="0" w:lastRowLastColumn="0"/>
            <w:tcW w:w="2268" w:type="dxa"/>
          </w:tcPr>
          <w:p w14:paraId="4768734C" w14:textId="77777777" w:rsidR="002D09A5" w:rsidRPr="00DF3CC5" w:rsidRDefault="002D09A5" w:rsidP="00926701">
            <w:pPr>
              <w:autoSpaceDE w:val="0"/>
              <w:autoSpaceDN w:val="0"/>
              <w:adjustRightInd w:val="0"/>
              <w:rPr>
                <w:rFonts w:ascii="Helvetica" w:hAnsi="Helvetica" w:cs="Helvetica"/>
                <w:lang w:val="en-US"/>
              </w:rPr>
            </w:pPr>
            <w:r w:rsidRPr="00DF3CC5">
              <w:rPr>
                <w:b/>
                <w:bCs/>
                <w:color w:val="000000"/>
                <w:lang w:val="en-US"/>
              </w:rPr>
              <w:t>richness per hour sampled</w:t>
            </w:r>
          </w:p>
        </w:tc>
        <w:tc>
          <w:tcPr>
            <w:tcW w:w="2321" w:type="dxa"/>
          </w:tcPr>
          <w:p w14:paraId="0D1C10F7" w14:textId="77777777" w:rsidR="002D09A5" w:rsidRPr="00DF3CC5" w:rsidRDefault="002D09A5" w:rsidP="0092670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Helvetica" w:hAnsi="Helvetica" w:cs="Helvetica"/>
                <w:lang w:val="en-US"/>
              </w:rPr>
            </w:pPr>
            <w:r w:rsidRPr="00DF3CC5">
              <w:rPr>
                <w:color w:val="000000"/>
                <w:lang w:val="en-US"/>
              </w:rPr>
              <w:t>linear</w:t>
            </w:r>
          </w:p>
        </w:tc>
        <w:tc>
          <w:tcPr>
            <w:cnfStyle w:val="000010000000" w:firstRow="0" w:lastRow="0" w:firstColumn="0" w:lastColumn="0" w:oddVBand="1" w:evenVBand="0" w:oddHBand="0" w:evenHBand="0" w:firstRowFirstColumn="0" w:firstRowLastColumn="0" w:lastRowFirstColumn="0" w:lastRowLastColumn="0"/>
            <w:tcW w:w="1140" w:type="dxa"/>
          </w:tcPr>
          <w:p w14:paraId="08C38BDB" w14:textId="77777777" w:rsidR="002D09A5" w:rsidRPr="00DF3CC5" w:rsidRDefault="002D09A5" w:rsidP="00926701">
            <w:pPr>
              <w:autoSpaceDE w:val="0"/>
              <w:autoSpaceDN w:val="0"/>
              <w:adjustRightInd w:val="0"/>
              <w:rPr>
                <w:rFonts w:ascii="Helvetica" w:hAnsi="Helvetica" w:cs="Helvetica"/>
                <w:lang w:val="en-US"/>
              </w:rPr>
            </w:pPr>
            <w:r w:rsidRPr="00DF3CC5">
              <w:rPr>
                <w:color w:val="000000"/>
                <w:lang w:val="en-US"/>
              </w:rPr>
              <w:t>0.07</w:t>
            </w:r>
          </w:p>
        </w:tc>
        <w:tc>
          <w:tcPr>
            <w:tcW w:w="2351" w:type="dxa"/>
          </w:tcPr>
          <w:p w14:paraId="50D905E8" w14:textId="77777777" w:rsidR="002D09A5" w:rsidRPr="00DF3CC5" w:rsidRDefault="002D09A5" w:rsidP="0092670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Helvetica" w:hAnsi="Helvetica" w:cs="Helvetica"/>
                <w:lang w:val="en-US"/>
              </w:rPr>
            </w:pPr>
            <w:r w:rsidRPr="00DF3CC5">
              <w:rPr>
                <w:color w:val="000000"/>
                <w:lang w:val="en-US"/>
              </w:rPr>
              <w:t>0.097</w:t>
            </w:r>
          </w:p>
        </w:tc>
      </w:tr>
      <w:tr w:rsidR="002D09A5" w14:paraId="1C45EAE1" w14:textId="77777777" w:rsidTr="00926701">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2268" w:type="dxa"/>
          </w:tcPr>
          <w:p w14:paraId="7CCAB434" w14:textId="77777777" w:rsidR="002D09A5" w:rsidRPr="00DF3CC5" w:rsidRDefault="002D09A5" w:rsidP="009267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tc>
        <w:tc>
          <w:tcPr>
            <w:tcW w:w="2321" w:type="dxa"/>
          </w:tcPr>
          <w:p w14:paraId="07702CD9"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color w:val="000000"/>
                <w:lang w:val="en-US"/>
              </w:rPr>
              <w:t>second-order polynomial</w:t>
            </w:r>
          </w:p>
        </w:tc>
        <w:tc>
          <w:tcPr>
            <w:cnfStyle w:val="000010000000" w:firstRow="0" w:lastRow="0" w:firstColumn="0" w:lastColumn="0" w:oddVBand="1" w:evenVBand="0" w:oddHBand="0" w:evenHBand="0" w:firstRowFirstColumn="0" w:firstRowLastColumn="0" w:lastRowFirstColumn="0" w:lastRowLastColumn="0"/>
            <w:tcW w:w="1140" w:type="dxa"/>
          </w:tcPr>
          <w:p w14:paraId="75754158" w14:textId="77777777" w:rsidR="002D09A5" w:rsidRPr="00DF3CC5" w:rsidRDefault="002D09A5" w:rsidP="00926701">
            <w:pPr>
              <w:autoSpaceDE w:val="0"/>
              <w:autoSpaceDN w:val="0"/>
              <w:adjustRightInd w:val="0"/>
              <w:rPr>
                <w:rFonts w:ascii="Helvetica" w:hAnsi="Helvetica" w:cs="Helvetica"/>
                <w:lang w:val="en-US"/>
              </w:rPr>
            </w:pPr>
            <w:r w:rsidRPr="00DF3CC5">
              <w:rPr>
                <w:color w:val="000000"/>
                <w:lang w:val="en-US"/>
              </w:rPr>
              <w:t>0.52</w:t>
            </w:r>
          </w:p>
        </w:tc>
        <w:tc>
          <w:tcPr>
            <w:tcW w:w="2351" w:type="dxa"/>
          </w:tcPr>
          <w:p w14:paraId="2E58B5DF"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color w:val="000000"/>
                <w:lang w:val="en-US"/>
              </w:rPr>
              <w:t>0.07</w:t>
            </w:r>
          </w:p>
        </w:tc>
      </w:tr>
      <w:tr w:rsidR="002D09A5" w14:paraId="7AD96194" w14:textId="77777777" w:rsidTr="00926701">
        <w:trPr>
          <w:jc w:val="center"/>
        </w:trPr>
        <w:tc>
          <w:tcPr>
            <w:cnfStyle w:val="000010000000" w:firstRow="0" w:lastRow="0" w:firstColumn="0" w:lastColumn="0" w:oddVBand="1" w:evenVBand="0" w:oddHBand="0" w:evenHBand="0" w:firstRowFirstColumn="0" w:firstRowLastColumn="0" w:lastRowFirstColumn="0" w:lastRowLastColumn="0"/>
            <w:tcW w:w="2268" w:type="dxa"/>
          </w:tcPr>
          <w:p w14:paraId="41507C6D" w14:textId="77777777" w:rsidR="002D09A5" w:rsidRPr="00DF3CC5" w:rsidRDefault="002D09A5" w:rsidP="00926701">
            <w:pPr>
              <w:autoSpaceDE w:val="0"/>
              <w:autoSpaceDN w:val="0"/>
              <w:adjustRightInd w:val="0"/>
              <w:rPr>
                <w:rFonts w:ascii="Helvetica" w:hAnsi="Helvetica" w:cs="Helvetica"/>
                <w:lang w:val="en-US"/>
              </w:rPr>
            </w:pPr>
            <w:r w:rsidRPr="00DF3CC5">
              <w:rPr>
                <w:b/>
                <w:bCs/>
                <w:color w:val="000000"/>
                <w:lang w:val="en-US"/>
              </w:rPr>
              <w:t>evenness</w:t>
            </w:r>
          </w:p>
        </w:tc>
        <w:tc>
          <w:tcPr>
            <w:tcW w:w="2321" w:type="dxa"/>
          </w:tcPr>
          <w:p w14:paraId="47C22E66" w14:textId="77777777" w:rsidR="002D09A5" w:rsidRPr="00DF3CC5" w:rsidRDefault="002D09A5" w:rsidP="0092670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Helvetica" w:hAnsi="Helvetica" w:cs="Helvetica"/>
                <w:lang w:val="en-US"/>
              </w:rPr>
            </w:pPr>
            <w:r w:rsidRPr="00DF3CC5">
              <w:rPr>
                <w:color w:val="000000"/>
                <w:lang w:val="en-US"/>
              </w:rPr>
              <w:t>linear</w:t>
            </w:r>
          </w:p>
        </w:tc>
        <w:tc>
          <w:tcPr>
            <w:cnfStyle w:val="000010000000" w:firstRow="0" w:lastRow="0" w:firstColumn="0" w:lastColumn="0" w:oddVBand="1" w:evenVBand="0" w:oddHBand="0" w:evenHBand="0" w:firstRowFirstColumn="0" w:firstRowLastColumn="0" w:lastRowFirstColumn="0" w:lastRowLastColumn="0"/>
            <w:tcW w:w="1140" w:type="dxa"/>
          </w:tcPr>
          <w:p w14:paraId="7F7ADFDC" w14:textId="77777777" w:rsidR="002D09A5" w:rsidRPr="00DF3CC5" w:rsidRDefault="002D09A5" w:rsidP="00926701">
            <w:pPr>
              <w:autoSpaceDE w:val="0"/>
              <w:autoSpaceDN w:val="0"/>
              <w:adjustRightInd w:val="0"/>
              <w:rPr>
                <w:rFonts w:ascii="Helvetica" w:hAnsi="Helvetica" w:cs="Helvetica"/>
                <w:lang w:val="en-US"/>
              </w:rPr>
            </w:pPr>
            <w:r w:rsidRPr="00DF3CC5">
              <w:rPr>
                <w:color w:val="000000"/>
                <w:lang w:val="en-US"/>
              </w:rPr>
              <w:t>0.05</w:t>
            </w:r>
          </w:p>
        </w:tc>
        <w:tc>
          <w:tcPr>
            <w:tcW w:w="2351" w:type="dxa"/>
          </w:tcPr>
          <w:p w14:paraId="27EAEED6" w14:textId="77777777" w:rsidR="002D09A5" w:rsidRPr="00DF3CC5" w:rsidRDefault="002D09A5" w:rsidP="0092670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Helvetica" w:hAnsi="Helvetica" w:cs="Helvetica"/>
                <w:lang w:val="en-US"/>
              </w:rPr>
            </w:pPr>
            <w:r w:rsidRPr="00DF3CC5">
              <w:rPr>
                <w:color w:val="000000"/>
                <w:lang w:val="en-US"/>
              </w:rPr>
              <w:t>0.094</w:t>
            </w:r>
          </w:p>
        </w:tc>
      </w:tr>
      <w:tr w:rsidR="002D09A5" w14:paraId="6645641A" w14:textId="77777777" w:rsidTr="00926701">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2268" w:type="dxa"/>
          </w:tcPr>
          <w:p w14:paraId="008162CE" w14:textId="77777777" w:rsidR="002D09A5" w:rsidRPr="00DF3CC5" w:rsidRDefault="002D09A5" w:rsidP="009267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tc>
        <w:tc>
          <w:tcPr>
            <w:tcW w:w="2321" w:type="dxa"/>
          </w:tcPr>
          <w:p w14:paraId="7EB82BDC"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color w:val="000000"/>
                <w:lang w:val="en-US"/>
              </w:rPr>
              <w:t>second-order polynomial</w:t>
            </w:r>
          </w:p>
        </w:tc>
        <w:tc>
          <w:tcPr>
            <w:cnfStyle w:val="000010000000" w:firstRow="0" w:lastRow="0" w:firstColumn="0" w:lastColumn="0" w:oddVBand="1" w:evenVBand="0" w:oddHBand="0" w:evenHBand="0" w:firstRowFirstColumn="0" w:firstRowLastColumn="0" w:lastRowFirstColumn="0" w:lastRowLastColumn="0"/>
            <w:tcW w:w="1140" w:type="dxa"/>
          </w:tcPr>
          <w:p w14:paraId="7A778B82" w14:textId="77777777" w:rsidR="002D09A5" w:rsidRPr="00DF3CC5" w:rsidRDefault="002D09A5" w:rsidP="00926701">
            <w:pPr>
              <w:autoSpaceDE w:val="0"/>
              <w:autoSpaceDN w:val="0"/>
              <w:adjustRightInd w:val="0"/>
              <w:rPr>
                <w:rFonts w:ascii="Helvetica" w:hAnsi="Helvetica" w:cs="Helvetica"/>
                <w:lang w:val="en-US"/>
              </w:rPr>
            </w:pPr>
            <w:r w:rsidRPr="00DF3CC5">
              <w:rPr>
                <w:color w:val="000000"/>
                <w:lang w:val="en-US"/>
              </w:rPr>
              <w:t>0.5</w:t>
            </w:r>
          </w:p>
        </w:tc>
        <w:tc>
          <w:tcPr>
            <w:tcW w:w="2351" w:type="dxa"/>
          </w:tcPr>
          <w:p w14:paraId="572FF7E1" w14:textId="77777777" w:rsidR="002D09A5" w:rsidRPr="00DF3CC5" w:rsidRDefault="002D09A5" w:rsidP="0092670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lang w:val="en-US"/>
              </w:rPr>
            </w:pPr>
            <w:r w:rsidRPr="00DF3CC5">
              <w:rPr>
                <w:color w:val="000000"/>
                <w:lang w:val="en-US"/>
              </w:rPr>
              <w:t>0.07</w:t>
            </w:r>
          </w:p>
        </w:tc>
      </w:tr>
    </w:tbl>
    <w:p w14:paraId="0F1E32D5" w14:textId="77777777" w:rsidR="002D09A5" w:rsidRDefault="002D09A5" w:rsidP="002D09A5">
      <w:pPr>
        <w:autoSpaceDE w:val="0"/>
        <w:autoSpaceDN w:val="0"/>
        <w:adjustRightInd w:val="0"/>
        <w:rPr>
          <w:b/>
          <w:bCs/>
          <w:color w:val="000000"/>
          <w:lang w:val="en-US"/>
        </w:rPr>
      </w:pPr>
      <w:r>
        <w:rPr>
          <w:b/>
          <w:bCs/>
          <w:color w:val="000000"/>
          <w:lang w:val="en-US"/>
        </w:rPr>
        <w:br w:type="page"/>
      </w:r>
    </w:p>
    <w:p w14:paraId="1490D2C0" w14:textId="77777777" w:rsidR="002D09A5" w:rsidRDefault="002D09A5" w:rsidP="002D09A5">
      <w:pPr>
        <w:autoSpaceDE w:val="0"/>
        <w:autoSpaceDN w:val="0"/>
        <w:adjustRightInd w:val="0"/>
        <w:rPr>
          <w:b/>
          <w:bCs/>
          <w:color w:val="000000"/>
          <w:lang w:val="en-US"/>
        </w:rPr>
      </w:pPr>
    </w:p>
    <w:p w14:paraId="12F1BA2A" w14:textId="77777777" w:rsidR="002D09A5" w:rsidRDefault="002D09A5" w:rsidP="002D09A5">
      <w:pPr>
        <w:autoSpaceDE w:val="0"/>
        <w:autoSpaceDN w:val="0"/>
        <w:adjustRightInd w:val="0"/>
        <w:jc w:val="center"/>
        <w:rPr>
          <w:color w:val="000000"/>
          <w:lang w:val="en-US"/>
        </w:rPr>
      </w:pPr>
      <w:r>
        <w:rPr>
          <w:noProof/>
          <w:color w:val="000000"/>
          <w:lang w:val="en-US"/>
          <w14:ligatures w14:val="standardContextual"/>
        </w:rPr>
        <w:drawing>
          <wp:inline distT="0" distB="0" distL="0" distR="0" wp14:anchorId="20A8BDA3" wp14:editId="047FE1D2">
            <wp:extent cx="5943600" cy="4245610"/>
            <wp:effectExtent l="0" t="0" r="0" b="0"/>
            <wp:docPr id="738239670" name="Picture 2" descr="A graph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239670" name="Picture 2" descr="A graph with a red lin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a:graphicData>
            </a:graphic>
          </wp:inline>
        </w:drawing>
      </w:r>
    </w:p>
    <w:p w14:paraId="5E7F8964" w14:textId="77777777" w:rsidR="002D09A5" w:rsidRPr="009A6960" w:rsidRDefault="002D09A5" w:rsidP="002D09A5">
      <w:pPr>
        <w:autoSpaceDE w:val="0"/>
        <w:autoSpaceDN w:val="0"/>
        <w:adjustRightInd w:val="0"/>
        <w:rPr>
          <w:b/>
          <w:bCs/>
          <w:color w:val="000000"/>
          <w:lang w:val="en-US"/>
        </w:rPr>
      </w:pPr>
      <w:r w:rsidRPr="009A6960">
        <w:rPr>
          <w:b/>
          <w:bCs/>
          <w:color w:val="000000"/>
          <w:lang w:val="en-US"/>
        </w:rPr>
        <w:t xml:space="preserve">Figure S1. </w:t>
      </w:r>
      <w:r w:rsidRPr="009A6960">
        <w:rPr>
          <w:color w:val="000000"/>
          <w:lang w:val="en-US"/>
        </w:rPr>
        <w:t>The relative importance of the long-term site-level aridity estimate on avian observations per hour. All observation data was collected from eBird and combined with aridity measurements. Observations were separated by season observed; summer (red) and winter (blue).</w:t>
      </w:r>
    </w:p>
    <w:p w14:paraId="5DC69AA4" w14:textId="77777777" w:rsidR="002D09A5" w:rsidRPr="009A6960" w:rsidRDefault="002D09A5" w:rsidP="002D09A5">
      <w:pPr>
        <w:autoSpaceDE w:val="0"/>
        <w:autoSpaceDN w:val="0"/>
        <w:adjustRightInd w:val="0"/>
        <w:rPr>
          <w:b/>
          <w:bCs/>
          <w:color w:val="000000"/>
          <w:lang w:val="en-US"/>
        </w:rPr>
      </w:pPr>
    </w:p>
    <w:p w14:paraId="27277333" w14:textId="77777777" w:rsidR="002D09A5" w:rsidRPr="009A6960" w:rsidRDefault="002D09A5" w:rsidP="002D09A5">
      <w:pPr>
        <w:autoSpaceDE w:val="0"/>
        <w:autoSpaceDN w:val="0"/>
        <w:adjustRightInd w:val="0"/>
        <w:rPr>
          <w:b/>
          <w:bCs/>
          <w:color w:val="000000"/>
          <w:lang w:val="en-US"/>
        </w:rPr>
      </w:pPr>
    </w:p>
    <w:p w14:paraId="2F7B3B67" w14:textId="77777777" w:rsidR="002D09A5" w:rsidRDefault="002D09A5" w:rsidP="002D09A5">
      <w:pPr>
        <w:autoSpaceDE w:val="0"/>
        <w:autoSpaceDN w:val="0"/>
        <w:adjustRightInd w:val="0"/>
        <w:rPr>
          <w:b/>
          <w:bCs/>
          <w:color w:val="000000"/>
          <w:lang w:val="en-US"/>
        </w:rPr>
      </w:pPr>
      <w:r>
        <w:rPr>
          <w:b/>
          <w:bCs/>
          <w:color w:val="000000"/>
          <w:lang w:val="en-US"/>
        </w:rPr>
        <w:br w:type="page"/>
      </w:r>
    </w:p>
    <w:p w14:paraId="25A2AA06" w14:textId="77777777" w:rsidR="002D09A5" w:rsidRDefault="002D09A5" w:rsidP="002D09A5">
      <w:pPr>
        <w:autoSpaceDE w:val="0"/>
        <w:autoSpaceDN w:val="0"/>
        <w:adjustRightInd w:val="0"/>
        <w:rPr>
          <w:b/>
          <w:bCs/>
          <w:color w:val="000000"/>
          <w:lang w:val="en-US"/>
        </w:rPr>
      </w:pPr>
      <w:r>
        <w:rPr>
          <w:b/>
          <w:bCs/>
          <w:noProof/>
          <w:color w:val="000000"/>
          <w:lang w:val="en-US"/>
          <w14:ligatures w14:val="standardContextual"/>
        </w:rPr>
        <w:lastRenderedPageBreak/>
        <w:drawing>
          <wp:inline distT="0" distB="0" distL="0" distR="0" wp14:anchorId="3906F355" wp14:editId="5AB1C6A4">
            <wp:extent cx="5943600" cy="4303395"/>
            <wp:effectExtent l="0" t="0" r="0" b="1905"/>
            <wp:docPr id="1502700380" name="Picture 3" descr="A graph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700380" name="Picture 3" descr="A graph with a red lin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4303395"/>
                    </a:xfrm>
                    <a:prstGeom prst="rect">
                      <a:avLst/>
                    </a:prstGeom>
                  </pic:spPr>
                </pic:pic>
              </a:graphicData>
            </a:graphic>
          </wp:inline>
        </w:drawing>
      </w:r>
    </w:p>
    <w:p w14:paraId="6C616638" w14:textId="77777777" w:rsidR="002D09A5" w:rsidRPr="009A6960" w:rsidRDefault="002D09A5" w:rsidP="002D09A5">
      <w:pPr>
        <w:autoSpaceDE w:val="0"/>
        <w:autoSpaceDN w:val="0"/>
        <w:adjustRightInd w:val="0"/>
        <w:rPr>
          <w:b/>
          <w:bCs/>
          <w:color w:val="000000"/>
          <w:lang w:val="en-US"/>
        </w:rPr>
      </w:pPr>
      <w:r>
        <w:rPr>
          <w:b/>
          <w:bCs/>
          <w:color w:val="000000"/>
          <w:lang w:val="en-US"/>
        </w:rPr>
        <w:t xml:space="preserve">Figure S2: </w:t>
      </w:r>
      <w:r w:rsidRPr="009A6960">
        <w:rPr>
          <w:color w:val="000000"/>
          <w:lang w:val="en-US"/>
        </w:rPr>
        <w:t xml:space="preserve">The relative importance of the long-term site-level aridity estimate on avian </w:t>
      </w:r>
      <w:r>
        <w:rPr>
          <w:color w:val="000000"/>
          <w:lang w:val="en-US"/>
        </w:rPr>
        <w:t>richness</w:t>
      </w:r>
      <w:r w:rsidRPr="009A6960">
        <w:rPr>
          <w:color w:val="000000"/>
          <w:lang w:val="en-US"/>
        </w:rPr>
        <w:t xml:space="preserve"> per hour</w:t>
      </w:r>
      <w:r>
        <w:rPr>
          <w:color w:val="000000"/>
          <w:lang w:val="en-US"/>
        </w:rPr>
        <w:t xml:space="preserve"> sampled</w:t>
      </w:r>
      <w:r w:rsidRPr="009A6960">
        <w:rPr>
          <w:color w:val="000000"/>
          <w:lang w:val="en-US"/>
        </w:rPr>
        <w:t>. All observation data was collected from eBird and combined with aridity measurements. Observations were separated by season observed; summer (red) and winter (blue).</w:t>
      </w:r>
    </w:p>
    <w:p w14:paraId="6F9B5B77" w14:textId="77777777" w:rsidR="002D09A5" w:rsidRPr="009A6960" w:rsidRDefault="002D09A5" w:rsidP="002D09A5">
      <w:pPr>
        <w:autoSpaceDE w:val="0"/>
        <w:autoSpaceDN w:val="0"/>
        <w:adjustRightInd w:val="0"/>
        <w:rPr>
          <w:b/>
          <w:bCs/>
          <w:color w:val="000000"/>
          <w:lang w:val="en-US"/>
        </w:rPr>
      </w:pPr>
    </w:p>
    <w:p w14:paraId="3610DE70" w14:textId="77777777" w:rsidR="002D09A5" w:rsidRDefault="002D09A5" w:rsidP="002D09A5">
      <w:pPr>
        <w:autoSpaceDE w:val="0"/>
        <w:autoSpaceDN w:val="0"/>
        <w:adjustRightInd w:val="0"/>
        <w:rPr>
          <w:color w:val="000000"/>
          <w:lang w:val="en-US"/>
        </w:rPr>
      </w:pPr>
    </w:p>
    <w:p w14:paraId="4032526B" w14:textId="77777777" w:rsidR="002D09A5" w:rsidRDefault="002D09A5" w:rsidP="002D09A5">
      <w:pPr>
        <w:autoSpaceDE w:val="0"/>
        <w:autoSpaceDN w:val="0"/>
        <w:adjustRightInd w:val="0"/>
        <w:jc w:val="center"/>
        <w:rPr>
          <w:b/>
          <w:bCs/>
          <w:color w:val="000000"/>
          <w:lang w:val="en-US"/>
        </w:rPr>
      </w:pPr>
      <w:r>
        <w:rPr>
          <w:b/>
          <w:bCs/>
          <w:color w:val="000000"/>
          <w:lang w:val="en-US"/>
        </w:rPr>
        <w:br w:type="page"/>
      </w:r>
      <w:r>
        <w:rPr>
          <w:b/>
          <w:bCs/>
          <w:noProof/>
          <w:color w:val="000000"/>
          <w:lang w:val="en-US"/>
          <w14:ligatures w14:val="standardContextual"/>
        </w:rPr>
        <w:lastRenderedPageBreak/>
        <w:drawing>
          <wp:inline distT="0" distB="0" distL="0" distR="0" wp14:anchorId="711E5558" wp14:editId="33BD1405">
            <wp:extent cx="5943600" cy="4245610"/>
            <wp:effectExtent l="0" t="0" r="0" b="0"/>
            <wp:docPr id="589925008" name="Picture 4"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925008" name="Picture 4" descr="A graph of a functio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a:graphicData>
            </a:graphic>
          </wp:inline>
        </w:drawing>
      </w:r>
    </w:p>
    <w:p w14:paraId="6590A3A4" w14:textId="77777777" w:rsidR="002D09A5" w:rsidRDefault="002D09A5" w:rsidP="002D09A5">
      <w:pPr>
        <w:autoSpaceDE w:val="0"/>
        <w:autoSpaceDN w:val="0"/>
        <w:adjustRightInd w:val="0"/>
        <w:rPr>
          <w:b/>
          <w:bCs/>
          <w:color w:val="000000"/>
          <w:lang w:val="en-US"/>
        </w:rPr>
      </w:pPr>
      <w:r>
        <w:rPr>
          <w:b/>
          <w:bCs/>
          <w:color w:val="000000"/>
          <w:lang w:val="en-US"/>
        </w:rPr>
        <w:t xml:space="preserve">Figure S3: </w:t>
      </w:r>
      <w:r w:rsidRPr="009A6960">
        <w:rPr>
          <w:color w:val="000000"/>
          <w:lang w:val="en-US"/>
        </w:rPr>
        <w:t xml:space="preserve">The relative importance of the long-term site-level aridity estimate on avian </w:t>
      </w:r>
      <w:r>
        <w:rPr>
          <w:color w:val="000000"/>
          <w:lang w:val="en-US"/>
        </w:rPr>
        <w:t>species evenness</w:t>
      </w:r>
      <w:r w:rsidRPr="009A6960">
        <w:rPr>
          <w:color w:val="000000"/>
          <w:lang w:val="en-US"/>
        </w:rPr>
        <w:t>. All observation data was collected from eBird and combined with aridity measurements. Observations were separated by season observed; summer (red) and winter (blue).</w:t>
      </w:r>
    </w:p>
    <w:p w14:paraId="78E2C36F" w14:textId="77777777" w:rsidR="002D09A5" w:rsidRDefault="002D09A5" w:rsidP="002D09A5">
      <w:pPr>
        <w:autoSpaceDE w:val="0"/>
        <w:autoSpaceDN w:val="0"/>
        <w:adjustRightInd w:val="0"/>
        <w:jc w:val="center"/>
        <w:rPr>
          <w:b/>
          <w:bCs/>
          <w:color w:val="000000"/>
          <w:lang w:val="en-US"/>
        </w:rPr>
      </w:pPr>
      <w:r>
        <w:rPr>
          <w:b/>
          <w:bCs/>
          <w:color w:val="000000"/>
          <w:lang w:val="en-US"/>
        </w:rPr>
        <w:br w:type="page"/>
      </w:r>
    </w:p>
    <w:p w14:paraId="2E707901" w14:textId="77777777" w:rsidR="002D09A5" w:rsidRDefault="002D09A5" w:rsidP="002D09A5">
      <w:r>
        <w:rPr>
          <w:b/>
          <w:bCs/>
          <w:noProof/>
          <w:color w:val="000000"/>
          <w:lang w:val="en-US"/>
          <w14:ligatures w14:val="standardContextual"/>
        </w:rPr>
        <w:lastRenderedPageBreak/>
        <w:drawing>
          <wp:inline distT="0" distB="0" distL="0" distR="0" wp14:anchorId="77B5D1D0" wp14:editId="153F1C24">
            <wp:extent cx="5943600" cy="4245610"/>
            <wp:effectExtent l="0" t="0" r="0" b="0"/>
            <wp:docPr id="270225840" name="Picture 5" descr="A graph of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25840" name="Picture 5" descr="A graph of a li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a:graphicData>
            </a:graphic>
          </wp:inline>
        </w:drawing>
      </w:r>
      <w:r>
        <w:rPr>
          <w:b/>
          <w:bCs/>
          <w:color w:val="000000"/>
          <w:lang w:val="en-US"/>
        </w:rPr>
        <w:t xml:space="preserve"> Figure S4:</w:t>
      </w:r>
      <w:r>
        <w:rPr>
          <w:color w:val="000000"/>
          <w:lang w:val="en-US"/>
        </w:rPr>
        <w:t xml:space="preserve"> The relative importance of shrub density per site per season on the proportion of species observed relative to checklists for each instance. There was a significant interaction between shrub density and aridity for this response variable (GLM, Chi-sq = 0.07, </w:t>
      </w:r>
      <w:proofErr w:type="spellStart"/>
      <w:r>
        <w:rPr>
          <w:color w:val="000000"/>
          <w:lang w:val="en-US"/>
        </w:rPr>
        <w:t>df</w:t>
      </w:r>
      <w:proofErr w:type="spellEnd"/>
      <w:r>
        <w:rPr>
          <w:color w:val="000000"/>
          <w:lang w:val="en-US"/>
        </w:rPr>
        <w:t xml:space="preserve"> = 13, p = 0.01). Shrub density is the total number of shrub individuals within 1000 m</w:t>
      </w:r>
      <w:r>
        <w:rPr>
          <w:color w:val="000000"/>
          <w:sz w:val="16"/>
          <w:szCs w:val="16"/>
          <w:vertAlign w:val="superscript"/>
          <w:lang w:val="en-US"/>
        </w:rPr>
        <w:t>2</w:t>
      </w:r>
      <w:r>
        <w:rPr>
          <w:color w:val="000000"/>
          <w:lang w:val="en-US"/>
        </w:rPr>
        <w:t>, and proportion observed is the proportion of species observed per checklist.</w:t>
      </w:r>
    </w:p>
    <w:p w14:paraId="2BDEE29F" w14:textId="77777777" w:rsidR="002D09A5" w:rsidRPr="00C066BB" w:rsidRDefault="002D09A5" w:rsidP="002D09A5">
      <w:pPr>
        <w:autoSpaceDE w:val="0"/>
        <w:autoSpaceDN w:val="0"/>
        <w:adjustRightInd w:val="0"/>
        <w:rPr>
          <w:color w:val="000000"/>
          <w:lang w:val="en-US"/>
        </w:rPr>
      </w:pPr>
    </w:p>
    <w:p w14:paraId="4D60B453" w14:textId="77777777" w:rsidR="002D09A5" w:rsidRDefault="002D09A5"/>
    <w:sectPr w:rsidR="002D09A5" w:rsidSect="001C77AC">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9A5"/>
    <w:rsid w:val="002D09A5"/>
    <w:rsid w:val="00B37A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8BE7BC8"/>
  <w15:chartTrackingRefBased/>
  <w15:docId w15:val="{3C3D3D97-65FD-9A41-AAE0-DEB9CD434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9A5"/>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3">
    <w:name w:val="Plain Table 3"/>
    <w:basedOn w:val="TableNormal"/>
    <w:uiPriority w:val="43"/>
    <w:rsid w:val="002D09A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rmalWeb">
    <w:name w:val="Normal (Web)"/>
    <w:basedOn w:val="Normal"/>
    <w:uiPriority w:val="99"/>
    <w:semiHidden/>
    <w:unhideWhenUsed/>
    <w:rsid w:val="002D09A5"/>
    <w:pPr>
      <w:spacing w:before="100" w:beforeAutospacing="1" w:after="100" w:afterAutospacing="1"/>
    </w:pPr>
  </w:style>
  <w:style w:type="character" w:styleId="LineNumber">
    <w:name w:val="line number"/>
    <w:basedOn w:val="DefaultParagraphFont"/>
    <w:uiPriority w:val="99"/>
    <w:semiHidden/>
    <w:unhideWhenUsed/>
    <w:rsid w:val="002D0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403</Words>
  <Characters>2301</Characters>
  <Application>Microsoft Office Word</Application>
  <DocSecurity>0</DocSecurity>
  <Lines>19</Lines>
  <Paragraphs>5</Paragraphs>
  <ScaleCrop>false</ScaleCrop>
  <Company/>
  <LinksUpToDate>false</LinksUpToDate>
  <CharactersWithSpaces>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Zuliani</dc:creator>
  <cp:keywords/>
  <dc:description/>
  <cp:lastModifiedBy>Mario Zuliani</cp:lastModifiedBy>
  <cp:revision>2</cp:revision>
  <dcterms:created xsi:type="dcterms:W3CDTF">2024-10-30T18:58:00Z</dcterms:created>
  <dcterms:modified xsi:type="dcterms:W3CDTF">2024-10-30T18:58:00Z</dcterms:modified>
</cp:coreProperties>
</file>