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BCAD9" w14:textId="77777777" w:rsidR="002A6088" w:rsidRPr="002A6088" w:rsidRDefault="002A6088" w:rsidP="002A6088">
      <w:pPr>
        <w:spacing w:line="360" w:lineRule="auto"/>
        <w:jc w:val="center"/>
        <w:rPr>
          <w:rFonts w:asciiTheme="majorBidi" w:eastAsia="Calibri" w:hAnsiTheme="majorBidi" w:cstheme="majorBidi"/>
          <w:b/>
          <w:bCs/>
          <w:sz w:val="30"/>
          <w:szCs w:val="30"/>
        </w:rPr>
      </w:pPr>
      <w:r w:rsidRPr="002A6088">
        <w:rPr>
          <w:rFonts w:asciiTheme="majorBidi" w:eastAsia="Calibri" w:hAnsiTheme="majorBidi" w:cstheme="majorBidi"/>
          <w:b/>
          <w:bCs/>
          <w:sz w:val="30"/>
          <w:szCs w:val="30"/>
        </w:rPr>
        <w:t>Supplementary materials</w:t>
      </w:r>
    </w:p>
    <w:p w14:paraId="4E090D32" w14:textId="2E5F82BF" w:rsidR="00F83A04" w:rsidRDefault="00C7418A" w:rsidP="00F83A04">
      <w:pPr>
        <w:spacing w:line="360" w:lineRule="auto"/>
        <w:jc w:val="both"/>
        <w:rPr>
          <w:rFonts w:asciiTheme="majorBidi" w:eastAsia="Calibri" w:hAnsiTheme="majorBidi" w:cstheme="majorBidi"/>
          <w:sz w:val="24"/>
          <w:szCs w:val="24"/>
        </w:rPr>
      </w:pPr>
      <w:r w:rsidRPr="000373F6">
        <w:rPr>
          <w:rFonts w:asciiTheme="majorBidi" w:eastAsia="Calibri" w:hAnsiTheme="majorBidi" w:cstheme="majorBidi"/>
          <w:b/>
          <w:bCs/>
          <w:sz w:val="24"/>
          <w:szCs w:val="24"/>
        </w:rPr>
        <w:t xml:space="preserve">Figure </w:t>
      </w:r>
      <w:r>
        <w:rPr>
          <w:rFonts w:asciiTheme="majorBidi" w:eastAsia="Calibri" w:hAnsiTheme="majorBidi" w:cstheme="majorBidi"/>
          <w:b/>
          <w:bCs/>
          <w:sz w:val="24"/>
          <w:szCs w:val="24"/>
        </w:rPr>
        <w:t>1</w:t>
      </w:r>
      <w:r w:rsidR="001A1B29">
        <w:rPr>
          <w:rFonts w:asciiTheme="majorBidi" w:eastAsia="Calibri" w:hAnsiTheme="majorBidi" w:cstheme="majorBidi"/>
          <w:b/>
          <w:bCs/>
          <w:sz w:val="24"/>
          <w:szCs w:val="24"/>
        </w:rPr>
        <w:t>s</w:t>
      </w:r>
      <w:r>
        <w:rPr>
          <w:rFonts w:asciiTheme="majorBidi" w:eastAsia="Calibri" w:hAnsiTheme="majorBidi" w:cstheme="majorBidi"/>
          <w:sz w:val="24"/>
          <w:szCs w:val="24"/>
        </w:rPr>
        <w:t xml:space="preserve"> </w:t>
      </w:r>
      <w:r w:rsidRPr="5FE54397">
        <w:rPr>
          <w:rFonts w:asciiTheme="majorBidi" w:eastAsia="Calibri" w:hAnsiTheme="majorBidi" w:cstheme="majorBidi"/>
          <w:sz w:val="24"/>
          <w:szCs w:val="24"/>
        </w:rPr>
        <w:t>demonstrates the relationship between the EIA crest (NmF2) and its corresponding height (hmF2) only over the African sector for both the north and the south in the upper and the lower rows respectively. Columns from left to right corresponding to the morning, noon and dusk times. Black, blue, green and red corresponding to the autumn, winter, spring and summer months</w:t>
      </w:r>
      <w:r>
        <w:rPr>
          <w:rFonts w:asciiTheme="majorBidi" w:eastAsia="Calibri" w:hAnsiTheme="majorBidi" w:cstheme="majorBidi"/>
          <w:sz w:val="24"/>
          <w:szCs w:val="24"/>
        </w:rPr>
        <w:t>,</w:t>
      </w:r>
      <w:r w:rsidRPr="5FE54397">
        <w:rPr>
          <w:rFonts w:asciiTheme="majorBidi" w:eastAsia="Calibri" w:hAnsiTheme="majorBidi" w:cstheme="majorBidi"/>
          <w:sz w:val="24"/>
          <w:szCs w:val="24"/>
        </w:rPr>
        <w:t xml:space="preserve"> respectively. It’s clearly shown that during noon and dusk time hours the </w:t>
      </w:r>
      <w:r w:rsidR="00F83A04" w:rsidRPr="5FE54397">
        <w:rPr>
          <w:rFonts w:asciiTheme="majorBidi" w:eastAsia="Calibri" w:hAnsiTheme="majorBidi" w:cstheme="majorBidi"/>
          <w:sz w:val="24"/>
          <w:szCs w:val="24"/>
        </w:rPr>
        <w:t>NmF2 is</w:t>
      </w:r>
      <w:r w:rsidR="001F6312">
        <w:rPr>
          <w:rFonts w:asciiTheme="majorBidi" w:eastAsia="Calibri" w:hAnsiTheme="majorBidi" w:cstheme="majorBidi"/>
          <w:sz w:val="24"/>
          <w:szCs w:val="24"/>
        </w:rPr>
        <w:t xml:space="preserve"> </w:t>
      </w:r>
      <w:r w:rsidR="001F6312" w:rsidRPr="5FE54397">
        <w:rPr>
          <w:rFonts w:asciiTheme="majorBidi" w:eastAsia="Calibri" w:hAnsiTheme="majorBidi" w:cstheme="majorBidi"/>
          <w:sz w:val="24"/>
          <w:szCs w:val="24"/>
        </w:rPr>
        <w:t xml:space="preserve">significantly </w:t>
      </w:r>
      <w:r w:rsidR="00F83A04" w:rsidRPr="5FE54397">
        <w:rPr>
          <w:rFonts w:asciiTheme="majorBidi" w:eastAsia="Calibri" w:hAnsiTheme="majorBidi" w:cstheme="majorBidi"/>
          <w:sz w:val="24"/>
          <w:szCs w:val="24"/>
        </w:rPr>
        <w:t xml:space="preserve">enhanced </w:t>
      </w:r>
      <w:r w:rsidR="00485F43">
        <w:rPr>
          <w:rFonts w:asciiTheme="majorBidi" w:eastAsia="Calibri" w:hAnsiTheme="majorBidi" w:cstheme="majorBidi"/>
          <w:sz w:val="24"/>
          <w:szCs w:val="24"/>
        </w:rPr>
        <w:t>with respect to altitudes</w:t>
      </w:r>
      <w:r w:rsidR="00052529">
        <w:rPr>
          <w:rFonts w:asciiTheme="majorBidi" w:eastAsia="Calibri" w:hAnsiTheme="majorBidi" w:cstheme="majorBidi"/>
          <w:sz w:val="24"/>
          <w:szCs w:val="24"/>
        </w:rPr>
        <w:t xml:space="preserve"> until 350 k</w:t>
      </w:r>
      <w:r w:rsidR="00EC5199">
        <w:rPr>
          <w:rFonts w:asciiTheme="majorBidi" w:eastAsia="Calibri" w:hAnsiTheme="majorBidi" w:cstheme="majorBidi"/>
          <w:sz w:val="24"/>
          <w:szCs w:val="24"/>
        </w:rPr>
        <w:t>m, but at more higher altitudes the NmF2 saturates</w:t>
      </w:r>
      <w:r w:rsidR="002F3CC1">
        <w:rPr>
          <w:rFonts w:asciiTheme="majorBidi" w:eastAsia="Calibri" w:hAnsiTheme="majorBidi" w:cstheme="majorBidi"/>
          <w:sz w:val="24"/>
          <w:szCs w:val="24"/>
        </w:rPr>
        <w:t xml:space="preserve"> until 450 km which subsequently </w:t>
      </w:r>
      <w:r w:rsidR="00AE09C8">
        <w:rPr>
          <w:rFonts w:asciiTheme="majorBidi" w:eastAsia="Calibri" w:hAnsiTheme="majorBidi" w:cstheme="majorBidi"/>
          <w:sz w:val="24"/>
          <w:szCs w:val="24"/>
        </w:rPr>
        <w:t xml:space="preserve">decreases again. </w:t>
      </w:r>
      <w:r w:rsidR="00F83A04" w:rsidRPr="5FE54397">
        <w:rPr>
          <w:rFonts w:asciiTheme="majorBidi" w:eastAsia="Calibri" w:hAnsiTheme="majorBidi" w:cstheme="majorBidi"/>
          <w:sz w:val="24"/>
          <w:szCs w:val="24"/>
        </w:rPr>
        <w:t xml:space="preserve">The abrupt enhancement of the dusk time </w:t>
      </w:r>
      <w:r w:rsidR="007E61C1">
        <w:rPr>
          <w:rFonts w:asciiTheme="majorBidi" w:eastAsia="Calibri" w:hAnsiTheme="majorBidi" w:cstheme="majorBidi"/>
          <w:sz w:val="24"/>
          <w:szCs w:val="24"/>
        </w:rPr>
        <w:t>NmF2 at 350</w:t>
      </w:r>
      <w:r w:rsidR="00F83A04" w:rsidRPr="5FE54397">
        <w:rPr>
          <w:rFonts w:asciiTheme="majorBidi" w:eastAsia="Calibri" w:hAnsiTheme="majorBidi" w:cstheme="majorBidi"/>
          <w:sz w:val="24"/>
          <w:szCs w:val="24"/>
        </w:rPr>
        <w:t xml:space="preserve"> is independent of season</w:t>
      </w:r>
      <w:r w:rsidR="007E61C1">
        <w:rPr>
          <w:rFonts w:asciiTheme="majorBidi" w:eastAsia="Calibri" w:hAnsiTheme="majorBidi" w:cstheme="majorBidi"/>
          <w:sz w:val="24"/>
          <w:szCs w:val="24"/>
        </w:rPr>
        <w:t>. It is also</w:t>
      </w:r>
      <w:r w:rsidR="00F83A04" w:rsidRPr="5FE54397">
        <w:rPr>
          <w:rFonts w:asciiTheme="majorBidi" w:eastAsia="Calibri" w:hAnsiTheme="majorBidi" w:cstheme="majorBidi"/>
          <w:sz w:val="24"/>
          <w:szCs w:val="24"/>
        </w:rPr>
        <w:t xml:space="preserve"> prominent during spring months in both hemispheres. </w:t>
      </w:r>
      <w:r w:rsidR="009B4299">
        <w:rPr>
          <w:rFonts w:asciiTheme="majorBidi" w:eastAsia="Calibri" w:hAnsiTheme="majorBidi" w:cstheme="majorBidi"/>
          <w:sz w:val="24"/>
          <w:szCs w:val="24"/>
        </w:rPr>
        <w:t>The</w:t>
      </w:r>
      <w:r w:rsidR="009B4299" w:rsidRPr="5FE54397">
        <w:rPr>
          <w:rFonts w:asciiTheme="majorBidi" w:eastAsia="Calibri" w:hAnsiTheme="majorBidi" w:cstheme="majorBidi"/>
          <w:sz w:val="24"/>
          <w:szCs w:val="24"/>
        </w:rPr>
        <w:t xml:space="preserve"> morning NmF2 </w:t>
      </w:r>
      <w:r w:rsidR="009B4299">
        <w:rPr>
          <w:rFonts w:asciiTheme="majorBidi" w:eastAsia="Calibri" w:hAnsiTheme="majorBidi" w:cstheme="majorBidi"/>
          <w:sz w:val="24"/>
          <w:szCs w:val="24"/>
        </w:rPr>
        <w:t>demonstrates a linear correlation with respect to the hmF2, as</w:t>
      </w:r>
      <w:r w:rsidR="009B4299" w:rsidRPr="5FE54397">
        <w:rPr>
          <w:rFonts w:asciiTheme="majorBidi" w:eastAsia="Calibri" w:hAnsiTheme="majorBidi" w:cstheme="majorBidi"/>
          <w:sz w:val="24"/>
          <w:szCs w:val="24"/>
        </w:rPr>
        <w:t xml:space="preserve"> </w:t>
      </w:r>
      <w:r w:rsidR="009B4299">
        <w:rPr>
          <w:rFonts w:asciiTheme="majorBidi" w:eastAsia="Calibri" w:hAnsiTheme="majorBidi" w:cstheme="majorBidi"/>
          <w:sz w:val="24"/>
          <w:szCs w:val="24"/>
        </w:rPr>
        <w:t xml:space="preserve">it </w:t>
      </w:r>
      <w:r w:rsidR="009B4299" w:rsidRPr="5FE54397">
        <w:rPr>
          <w:rFonts w:asciiTheme="majorBidi" w:eastAsia="Calibri" w:hAnsiTheme="majorBidi" w:cstheme="majorBidi"/>
          <w:sz w:val="24"/>
          <w:szCs w:val="24"/>
        </w:rPr>
        <w:t xml:space="preserve">smoothly </w:t>
      </w:r>
      <w:r w:rsidR="009B4299">
        <w:rPr>
          <w:rFonts w:asciiTheme="majorBidi" w:eastAsia="Calibri" w:hAnsiTheme="majorBidi" w:cstheme="majorBidi"/>
          <w:sz w:val="24"/>
          <w:szCs w:val="24"/>
        </w:rPr>
        <w:t xml:space="preserve">increases </w:t>
      </w:r>
      <w:r w:rsidR="009B4299" w:rsidRPr="5FE54397">
        <w:rPr>
          <w:rFonts w:asciiTheme="majorBidi" w:eastAsia="Calibri" w:hAnsiTheme="majorBidi" w:cstheme="majorBidi"/>
          <w:sz w:val="24"/>
          <w:szCs w:val="24"/>
        </w:rPr>
        <w:t>with heights.</w:t>
      </w:r>
    </w:p>
    <w:p w14:paraId="4C4C1293" w14:textId="77777777" w:rsidR="00F83A04" w:rsidRPr="00444D99" w:rsidRDefault="00F83A04" w:rsidP="001E2977">
      <w:pPr>
        <w:spacing w:line="360" w:lineRule="auto"/>
        <w:ind w:hanging="720"/>
        <w:jc w:val="both"/>
        <w:rPr>
          <w:rFonts w:asciiTheme="majorBidi" w:eastAsia="Calibri" w:hAnsiTheme="majorBidi" w:cstheme="majorBidi"/>
          <w:sz w:val="24"/>
          <w:szCs w:val="24"/>
        </w:rPr>
      </w:pPr>
      <w:r>
        <w:rPr>
          <w:noProof/>
        </w:rPr>
        <w:drawing>
          <wp:inline distT="0" distB="0" distL="0" distR="0" wp14:anchorId="1607ECE1" wp14:editId="768AE5D2">
            <wp:extent cx="7126824" cy="4254500"/>
            <wp:effectExtent l="0" t="0" r="0" b="0"/>
            <wp:docPr id="534817283" name="Picture 53481728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17283" name="Picture 534817283" descr="A screenshot of a computer&#10;&#10;Description automatically generated"/>
                    <pic:cNvPicPr/>
                  </pic:nvPicPr>
                  <pic:blipFill rotWithShape="1">
                    <a:blip r:embed="rId4"/>
                    <a:srcRect l="3205" t="13968" r="8012" b="8495"/>
                    <a:stretch/>
                  </pic:blipFill>
                  <pic:spPr bwMode="auto">
                    <a:xfrm>
                      <a:off x="0" y="0"/>
                      <a:ext cx="7138916" cy="4261719"/>
                    </a:xfrm>
                    <a:prstGeom prst="rect">
                      <a:avLst/>
                    </a:prstGeom>
                    <a:ln>
                      <a:noFill/>
                    </a:ln>
                    <a:extLst>
                      <a:ext uri="{53640926-AAD7-44D8-BBD7-CCE9431645EC}">
                        <a14:shadowObscured xmlns:a14="http://schemas.microsoft.com/office/drawing/2010/main"/>
                      </a:ext>
                    </a:extLst>
                  </pic:spPr>
                </pic:pic>
              </a:graphicData>
            </a:graphic>
          </wp:inline>
        </w:drawing>
      </w:r>
    </w:p>
    <w:p w14:paraId="1D718252" w14:textId="77777777" w:rsidR="00F83A04" w:rsidRPr="00FF71F3" w:rsidRDefault="00F83A04" w:rsidP="00F83A04">
      <w:pPr>
        <w:ind w:right="-7"/>
        <w:jc w:val="center"/>
        <w:rPr>
          <w:rFonts w:asciiTheme="majorBidi" w:hAnsiTheme="majorBidi" w:cstheme="majorBidi"/>
          <w:b/>
          <w:bCs/>
          <w:sz w:val="24"/>
          <w:szCs w:val="24"/>
        </w:rPr>
      </w:pPr>
    </w:p>
    <w:p w14:paraId="26A1535D" w14:textId="21279961" w:rsidR="00F83A04" w:rsidRPr="00D84D91" w:rsidRDefault="00F83A04" w:rsidP="00F83A04">
      <w:pPr>
        <w:jc w:val="both"/>
        <w:rPr>
          <w:rFonts w:asciiTheme="majorBidi" w:eastAsia="Times New Roman" w:hAnsiTheme="majorBidi" w:cstheme="majorBidi"/>
          <w:b/>
          <w:bCs/>
          <w:spacing w:val="6"/>
          <w:sz w:val="24"/>
          <w:szCs w:val="24"/>
        </w:rPr>
      </w:pPr>
      <w:r w:rsidRPr="00D84D91">
        <w:rPr>
          <w:rFonts w:asciiTheme="majorBidi" w:eastAsia="Times New Roman" w:hAnsiTheme="majorBidi" w:cstheme="majorBidi"/>
          <w:b/>
          <w:bCs/>
          <w:spacing w:val="6"/>
          <w:sz w:val="24"/>
          <w:szCs w:val="24"/>
        </w:rPr>
        <w:lastRenderedPageBreak/>
        <w:t xml:space="preserve">Fig. </w:t>
      </w:r>
      <w:r>
        <w:rPr>
          <w:rFonts w:asciiTheme="majorBidi" w:eastAsia="Times New Roman" w:hAnsiTheme="majorBidi" w:cstheme="majorBidi"/>
          <w:b/>
          <w:bCs/>
          <w:spacing w:val="6"/>
          <w:sz w:val="24"/>
          <w:szCs w:val="24"/>
        </w:rPr>
        <w:t>1</w:t>
      </w:r>
      <w:r w:rsidR="001A1B29">
        <w:rPr>
          <w:rFonts w:asciiTheme="majorBidi" w:eastAsia="Times New Roman" w:hAnsiTheme="majorBidi" w:cstheme="majorBidi"/>
          <w:b/>
          <w:bCs/>
          <w:spacing w:val="6"/>
          <w:sz w:val="24"/>
          <w:szCs w:val="24"/>
        </w:rPr>
        <w:t>s</w:t>
      </w:r>
      <w:r w:rsidRPr="00D84D91">
        <w:rPr>
          <w:rFonts w:asciiTheme="majorBidi" w:eastAsia="Times New Roman" w:hAnsiTheme="majorBidi" w:cstheme="majorBidi"/>
          <w:b/>
          <w:bCs/>
          <w:spacing w:val="6"/>
          <w:sz w:val="24"/>
          <w:szCs w:val="24"/>
        </w:rPr>
        <w:t>. The NmF2 versus hmF2 solar flux over the African sector (20</w:t>
      </w:r>
      <w:r w:rsidRPr="00D84D91">
        <w:rPr>
          <w:rFonts w:asciiTheme="majorBidi" w:eastAsia="Times New Roman" w:hAnsiTheme="majorBidi" w:cstheme="majorBidi"/>
          <w:b/>
          <w:bCs/>
          <w:spacing w:val="6"/>
          <w:sz w:val="24"/>
          <w:szCs w:val="24"/>
          <w:vertAlign w:val="superscript"/>
        </w:rPr>
        <w:t>o</w:t>
      </w:r>
      <w:r w:rsidRPr="00D84D91">
        <w:rPr>
          <w:rFonts w:asciiTheme="majorBidi" w:eastAsia="Times New Roman" w:hAnsiTheme="majorBidi" w:cstheme="majorBidi"/>
          <w:b/>
          <w:bCs/>
          <w:spacing w:val="6"/>
          <w:sz w:val="24"/>
          <w:szCs w:val="24"/>
        </w:rPr>
        <w:t>-50</w:t>
      </w:r>
      <w:r w:rsidRPr="00D84D91">
        <w:rPr>
          <w:rFonts w:asciiTheme="majorBidi" w:eastAsia="Times New Roman" w:hAnsiTheme="majorBidi" w:cstheme="majorBidi"/>
          <w:b/>
          <w:bCs/>
          <w:spacing w:val="6"/>
          <w:sz w:val="24"/>
          <w:szCs w:val="24"/>
          <w:vertAlign w:val="superscript"/>
        </w:rPr>
        <w:t>o</w:t>
      </w:r>
      <w:r w:rsidRPr="00D84D91">
        <w:rPr>
          <w:rFonts w:asciiTheme="majorBidi" w:eastAsia="Times New Roman" w:hAnsiTheme="majorBidi" w:cstheme="majorBidi"/>
          <w:b/>
          <w:bCs/>
          <w:spacing w:val="6"/>
          <w:sz w:val="24"/>
          <w:szCs w:val="24"/>
        </w:rPr>
        <w:t>E) for northern (13</w:t>
      </w:r>
      <w:r w:rsidRPr="00D84D91">
        <w:rPr>
          <w:rFonts w:asciiTheme="majorBidi" w:eastAsia="Times New Roman" w:hAnsiTheme="majorBidi" w:cstheme="majorBidi"/>
          <w:b/>
          <w:bCs/>
          <w:spacing w:val="6"/>
          <w:sz w:val="24"/>
          <w:szCs w:val="24"/>
          <w:vertAlign w:val="superscript"/>
        </w:rPr>
        <w:t>o</w:t>
      </w:r>
      <w:r w:rsidRPr="00D84D91">
        <w:rPr>
          <w:rFonts w:asciiTheme="majorBidi" w:eastAsia="Times New Roman" w:hAnsiTheme="majorBidi" w:cstheme="majorBidi"/>
          <w:b/>
          <w:bCs/>
          <w:spacing w:val="6"/>
          <w:sz w:val="24"/>
          <w:szCs w:val="24"/>
        </w:rPr>
        <w:t>-25</w:t>
      </w:r>
      <w:r w:rsidRPr="00D84D91">
        <w:rPr>
          <w:rFonts w:asciiTheme="majorBidi" w:eastAsia="Times New Roman" w:hAnsiTheme="majorBidi" w:cstheme="majorBidi"/>
          <w:b/>
          <w:bCs/>
          <w:spacing w:val="6"/>
          <w:sz w:val="24"/>
          <w:szCs w:val="24"/>
          <w:vertAlign w:val="superscript"/>
        </w:rPr>
        <w:t>o</w:t>
      </w:r>
      <w:r w:rsidRPr="00D84D91">
        <w:rPr>
          <w:rFonts w:asciiTheme="majorBidi" w:eastAsia="Times New Roman" w:hAnsiTheme="majorBidi" w:cstheme="majorBidi"/>
          <w:b/>
          <w:bCs/>
          <w:spacing w:val="6"/>
          <w:sz w:val="24"/>
          <w:szCs w:val="24"/>
        </w:rPr>
        <w:t>N) and southern (13</w:t>
      </w:r>
      <w:r w:rsidRPr="00D84D91">
        <w:rPr>
          <w:rFonts w:asciiTheme="majorBidi" w:eastAsia="Times New Roman" w:hAnsiTheme="majorBidi" w:cstheme="majorBidi"/>
          <w:b/>
          <w:bCs/>
          <w:spacing w:val="6"/>
          <w:sz w:val="24"/>
          <w:szCs w:val="24"/>
          <w:vertAlign w:val="superscript"/>
        </w:rPr>
        <w:t>o</w:t>
      </w:r>
      <w:r w:rsidRPr="00D84D91">
        <w:rPr>
          <w:rFonts w:asciiTheme="majorBidi" w:eastAsia="Times New Roman" w:hAnsiTheme="majorBidi" w:cstheme="majorBidi"/>
          <w:b/>
          <w:bCs/>
          <w:spacing w:val="6"/>
          <w:sz w:val="24"/>
          <w:szCs w:val="24"/>
        </w:rPr>
        <w:t>-25</w:t>
      </w:r>
      <w:r w:rsidRPr="00D84D91">
        <w:rPr>
          <w:rFonts w:asciiTheme="majorBidi" w:eastAsia="Times New Roman" w:hAnsiTheme="majorBidi" w:cstheme="majorBidi"/>
          <w:b/>
          <w:bCs/>
          <w:spacing w:val="6"/>
          <w:sz w:val="24"/>
          <w:szCs w:val="24"/>
          <w:vertAlign w:val="superscript"/>
        </w:rPr>
        <w:t>o</w:t>
      </w:r>
      <w:r w:rsidRPr="00D84D91">
        <w:rPr>
          <w:rFonts w:asciiTheme="majorBidi" w:eastAsia="Times New Roman" w:hAnsiTheme="majorBidi" w:cstheme="majorBidi"/>
          <w:b/>
          <w:bCs/>
          <w:spacing w:val="6"/>
          <w:sz w:val="24"/>
          <w:szCs w:val="24"/>
        </w:rPr>
        <w:t>S) hemisphere in the upper and lower row respectively.</w:t>
      </w:r>
      <w:r w:rsidRPr="00D84D91">
        <w:rPr>
          <w:rFonts w:asciiTheme="majorBidi" w:eastAsia="Calibri" w:hAnsiTheme="majorBidi" w:cstheme="majorBidi"/>
          <w:b/>
          <w:bCs/>
          <w:sz w:val="24"/>
          <w:szCs w:val="24"/>
        </w:rPr>
        <w:t xml:space="preserve"> </w:t>
      </w:r>
      <w:r w:rsidRPr="00D84D91">
        <w:rPr>
          <w:rFonts w:asciiTheme="majorBidi" w:eastAsia="Times New Roman" w:hAnsiTheme="majorBidi" w:cstheme="majorBidi"/>
          <w:b/>
          <w:bCs/>
          <w:spacing w:val="6"/>
          <w:sz w:val="24"/>
          <w:szCs w:val="24"/>
        </w:rPr>
        <w:t>Columns from left to right corresponding to morning (0900-1100) the noon 13:00-15:00 and evening (1900-2100) local times respectively. Winter spring, summer and autumn in blue, green, summer and autumn, respectively.</w:t>
      </w:r>
    </w:p>
    <w:p w14:paraId="6EEE9B41" w14:textId="77777777" w:rsidR="00A15CDB" w:rsidRDefault="00A15CDB"/>
    <w:p w14:paraId="1EEF8239" w14:textId="3A871C6D" w:rsidR="001E2977" w:rsidRDefault="001E2977" w:rsidP="001E2977">
      <w:pPr>
        <w:spacing w:line="360" w:lineRule="auto"/>
        <w:jc w:val="both"/>
        <w:rPr>
          <w:rFonts w:asciiTheme="majorBidi" w:hAnsiTheme="majorBidi" w:cstheme="majorBidi"/>
          <w:sz w:val="24"/>
          <w:szCs w:val="24"/>
        </w:rPr>
      </w:pPr>
      <w:r w:rsidRPr="0017266A">
        <w:rPr>
          <w:rFonts w:asciiTheme="majorBidi" w:hAnsiTheme="majorBidi" w:cstheme="majorBidi"/>
          <w:b/>
          <w:bCs/>
          <w:sz w:val="24"/>
          <w:szCs w:val="24"/>
        </w:rPr>
        <w:t xml:space="preserve">Figure </w:t>
      </w:r>
      <w:r>
        <w:rPr>
          <w:rFonts w:asciiTheme="majorBidi" w:hAnsiTheme="majorBidi" w:cstheme="majorBidi"/>
          <w:b/>
          <w:bCs/>
          <w:sz w:val="24"/>
          <w:szCs w:val="24"/>
        </w:rPr>
        <w:t>2</w:t>
      </w:r>
      <w:r w:rsidR="001F135E">
        <w:rPr>
          <w:rFonts w:asciiTheme="majorBidi" w:hAnsiTheme="majorBidi" w:cstheme="majorBidi"/>
          <w:b/>
          <w:bCs/>
          <w:sz w:val="24"/>
          <w:szCs w:val="24"/>
        </w:rPr>
        <w:t>s</w:t>
      </w:r>
      <w:r w:rsidRPr="0017266A">
        <w:rPr>
          <w:rFonts w:asciiTheme="majorBidi" w:hAnsiTheme="majorBidi" w:cstheme="majorBidi"/>
          <w:sz w:val="24"/>
          <w:szCs w:val="24"/>
        </w:rPr>
        <w:t xml:space="preserve"> </w:t>
      </w:r>
      <w:r w:rsidR="001A1B29">
        <w:rPr>
          <w:rFonts w:asciiTheme="majorBidi" w:hAnsiTheme="majorBidi" w:cstheme="majorBidi"/>
          <w:sz w:val="24"/>
          <w:szCs w:val="24"/>
        </w:rPr>
        <w:t>demonstrates the</w:t>
      </w:r>
      <w:r w:rsidR="00A40755">
        <w:rPr>
          <w:rFonts w:asciiTheme="majorBidi" w:hAnsiTheme="majorBidi" w:cstheme="majorBidi"/>
          <w:sz w:val="24"/>
          <w:szCs w:val="24"/>
        </w:rPr>
        <w:t xml:space="preserve"> daily and monthly</w:t>
      </w:r>
      <w:r w:rsidR="001A1B29">
        <w:rPr>
          <w:rFonts w:asciiTheme="majorBidi" w:hAnsiTheme="majorBidi" w:cstheme="majorBidi"/>
          <w:sz w:val="24"/>
          <w:szCs w:val="24"/>
        </w:rPr>
        <w:t xml:space="preserve"> </w:t>
      </w:r>
      <w:r w:rsidR="00A40755">
        <w:rPr>
          <w:rFonts w:asciiTheme="majorBidi" w:hAnsiTheme="majorBidi" w:cstheme="majorBidi"/>
          <w:sz w:val="24"/>
          <w:szCs w:val="24"/>
        </w:rPr>
        <w:t>F10 solar flux</w:t>
      </w:r>
      <w:r w:rsidR="005F7236">
        <w:rPr>
          <w:rFonts w:asciiTheme="majorBidi" w:hAnsiTheme="majorBidi" w:cstheme="majorBidi"/>
          <w:sz w:val="24"/>
          <w:szCs w:val="24"/>
        </w:rPr>
        <w:t xml:space="preserve"> along the whole period of observation 2006-2023 in black and red lines respectively</w:t>
      </w:r>
      <w:r w:rsidR="004442ED">
        <w:rPr>
          <w:rFonts w:asciiTheme="majorBidi" w:hAnsiTheme="majorBidi" w:cstheme="majorBidi"/>
          <w:sz w:val="24"/>
          <w:szCs w:val="24"/>
        </w:rPr>
        <w:t xml:space="preserve"> in the left panel</w:t>
      </w:r>
      <w:r w:rsidR="005F7236">
        <w:rPr>
          <w:rFonts w:asciiTheme="majorBidi" w:hAnsiTheme="majorBidi" w:cstheme="majorBidi"/>
          <w:sz w:val="24"/>
          <w:szCs w:val="24"/>
        </w:rPr>
        <w:t xml:space="preserve">. </w:t>
      </w:r>
      <w:r w:rsidR="004442ED">
        <w:rPr>
          <w:rFonts w:asciiTheme="majorBidi" w:hAnsiTheme="majorBidi" w:cstheme="majorBidi"/>
          <w:sz w:val="24"/>
          <w:szCs w:val="24"/>
        </w:rPr>
        <w:t xml:space="preserve">The linear fitting between the </w:t>
      </w:r>
      <w:r w:rsidR="00270B8E">
        <w:rPr>
          <w:rFonts w:asciiTheme="majorBidi" w:hAnsiTheme="majorBidi" w:cstheme="majorBidi"/>
          <w:sz w:val="24"/>
          <w:szCs w:val="24"/>
        </w:rPr>
        <w:t xml:space="preserve">F107 and the electron density data in the left panel for the different seasons. </w:t>
      </w:r>
      <w:r w:rsidR="005F7236">
        <w:rPr>
          <w:rFonts w:asciiTheme="majorBidi" w:hAnsiTheme="majorBidi" w:cstheme="majorBidi"/>
          <w:sz w:val="24"/>
          <w:szCs w:val="24"/>
        </w:rPr>
        <w:t>It</w:t>
      </w:r>
      <w:r w:rsidR="00270B8E">
        <w:rPr>
          <w:rFonts w:asciiTheme="majorBidi" w:hAnsiTheme="majorBidi" w:cstheme="majorBidi"/>
          <w:sz w:val="24"/>
          <w:szCs w:val="24"/>
        </w:rPr>
        <w:t xml:space="preserve"> </w:t>
      </w:r>
      <w:r w:rsidRPr="0017266A">
        <w:rPr>
          <w:rFonts w:asciiTheme="majorBidi" w:hAnsiTheme="majorBidi" w:cstheme="majorBidi"/>
          <w:sz w:val="24"/>
          <w:szCs w:val="24"/>
        </w:rPr>
        <w:t xml:space="preserve">shows that however the higher solar flux during summer months the density is always lower, while during equinoxes the density is the highest as it has indicated through the linear fit lines in </w:t>
      </w:r>
      <w:r w:rsidR="00D8336E">
        <w:rPr>
          <w:rFonts w:asciiTheme="majorBidi" w:hAnsiTheme="majorBidi" w:cstheme="majorBidi"/>
          <w:sz w:val="24"/>
          <w:szCs w:val="24"/>
        </w:rPr>
        <w:t>the right panel</w:t>
      </w:r>
      <w:r w:rsidRPr="0017266A">
        <w:rPr>
          <w:rFonts w:asciiTheme="majorBidi" w:hAnsiTheme="majorBidi" w:cstheme="majorBidi"/>
          <w:sz w:val="24"/>
          <w:szCs w:val="24"/>
        </w:rPr>
        <w:t>.</w:t>
      </w:r>
      <w:r w:rsidR="00122AED">
        <w:rPr>
          <w:rFonts w:asciiTheme="majorBidi" w:hAnsiTheme="majorBidi" w:cstheme="majorBidi"/>
          <w:sz w:val="24"/>
          <w:szCs w:val="24"/>
        </w:rPr>
        <w:t xml:space="preserve"> At higher solar flux </w:t>
      </w:r>
      <w:r w:rsidR="001B5A3D">
        <w:rPr>
          <w:rFonts w:asciiTheme="majorBidi" w:hAnsiTheme="majorBidi" w:cstheme="majorBidi"/>
          <w:sz w:val="24"/>
          <w:szCs w:val="24"/>
        </w:rPr>
        <w:t>levels,</w:t>
      </w:r>
      <w:r w:rsidR="00122AED">
        <w:rPr>
          <w:rFonts w:asciiTheme="majorBidi" w:hAnsiTheme="majorBidi" w:cstheme="majorBidi"/>
          <w:sz w:val="24"/>
          <w:szCs w:val="24"/>
        </w:rPr>
        <w:t xml:space="preserve"> the </w:t>
      </w:r>
      <w:r w:rsidR="002332E9">
        <w:rPr>
          <w:rFonts w:asciiTheme="majorBidi" w:hAnsiTheme="majorBidi" w:cstheme="majorBidi"/>
          <w:sz w:val="24"/>
          <w:szCs w:val="24"/>
        </w:rPr>
        <w:t>data points are highly scattered.</w:t>
      </w:r>
      <w:r w:rsidRPr="0017266A">
        <w:rPr>
          <w:rFonts w:asciiTheme="majorBidi" w:hAnsiTheme="majorBidi" w:cstheme="majorBidi"/>
          <w:sz w:val="24"/>
          <w:szCs w:val="24"/>
        </w:rPr>
        <w:t xml:space="preserve"> Therefore, the solar flux F107 index capable to interpret the NmF2 solar cycle dependence</w:t>
      </w:r>
      <w:r w:rsidR="002332E9">
        <w:rPr>
          <w:rFonts w:asciiTheme="majorBidi" w:hAnsiTheme="majorBidi" w:cstheme="majorBidi"/>
          <w:sz w:val="24"/>
          <w:szCs w:val="24"/>
        </w:rPr>
        <w:t xml:space="preserve"> only at low solar activity</w:t>
      </w:r>
      <w:r w:rsidRPr="0017266A">
        <w:rPr>
          <w:rFonts w:asciiTheme="majorBidi" w:hAnsiTheme="majorBidi" w:cstheme="majorBidi"/>
          <w:sz w:val="24"/>
          <w:szCs w:val="24"/>
        </w:rPr>
        <w:t xml:space="preserve">, while </w:t>
      </w:r>
      <w:r w:rsidR="00966F08">
        <w:rPr>
          <w:rFonts w:asciiTheme="majorBidi" w:hAnsiTheme="majorBidi" w:cstheme="majorBidi"/>
          <w:sz w:val="24"/>
          <w:szCs w:val="24"/>
        </w:rPr>
        <w:t xml:space="preserve">at higher </w:t>
      </w:r>
      <w:r w:rsidR="0067716A">
        <w:rPr>
          <w:rFonts w:asciiTheme="majorBidi" w:hAnsiTheme="majorBidi" w:cstheme="majorBidi"/>
          <w:sz w:val="24"/>
          <w:szCs w:val="24"/>
        </w:rPr>
        <w:t xml:space="preserve">levels the </w:t>
      </w:r>
      <w:r w:rsidRPr="0017266A">
        <w:rPr>
          <w:rFonts w:asciiTheme="majorBidi" w:hAnsiTheme="majorBidi" w:cstheme="majorBidi"/>
          <w:sz w:val="24"/>
          <w:szCs w:val="24"/>
        </w:rPr>
        <w:t xml:space="preserve">NmF2 </w:t>
      </w:r>
      <w:r w:rsidR="0067716A">
        <w:rPr>
          <w:rFonts w:asciiTheme="majorBidi" w:hAnsiTheme="majorBidi" w:cstheme="majorBidi"/>
          <w:sz w:val="24"/>
          <w:szCs w:val="24"/>
        </w:rPr>
        <w:t xml:space="preserve">should have additional </w:t>
      </w:r>
      <w:r w:rsidR="001B5A3D">
        <w:rPr>
          <w:rFonts w:asciiTheme="majorBidi" w:hAnsiTheme="majorBidi" w:cstheme="majorBidi"/>
          <w:sz w:val="24"/>
          <w:szCs w:val="24"/>
        </w:rPr>
        <w:t xml:space="preserve">driving </w:t>
      </w:r>
      <w:r w:rsidR="0067716A">
        <w:rPr>
          <w:rFonts w:asciiTheme="majorBidi" w:hAnsiTheme="majorBidi" w:cstheme="majorBidi"/>
          <w:sz w:val="24"/>
          <w:szCs w:val="24"/>
        </w:rPr>
        <w:t xml:space="preserve">mechanisms </w:t>
      </w:r>
      <w:r w:rsidR="00DC0A77">
        <w:rPr>
          <w:rFonts w:asciiTheme="majorBidi" w:hAnsiTheme="majorBidi" w:cstheme="majorBidi"/>
          <w:sz w:val="24"/>
          <w:szCs w:val="24"/>
        </w:rPr>
        <w:t xml:space="preserve">that </w:t>
      </w:r>
      <w:r w:rsidR="001B5A3D">
        <w:rPr>
          <w:rFonts w:asciiTheme="majorBidi" w:hAnsiTheme="majorBidi" w:cstheme="majorBidi"/>
          <w:sz w:val="24"/>
          <w:szCs w:val="24"/>
        </w:rPr>
        <w:t xml:space="preserve">has the capability to </w:t>
      </w:r>
      <w:r w:rsidR="00F12102">
        <w:rPr>
          <w:rFonts w:asciiTheme="majorBidi" w:hAnsiTheme="majorBidi" w:cstheme="majorBidi"/>
          <w:sz w:val="24"/>
          <w:szCs w:val="24"/>
        </w:rPr>
        <w:t>interpret such saturation(non-linearity).</w:t>
      </w:r>
      <w:r>
        <w:rPr>
          <w:rFonts w:asciiTheme="majorBidi" w:hAnsiTheme="majorBidi" w:cstheme="majorBidi"/>
          <w:sz w:val="24"/>
          <w:szCs w:val="24"/>
        </w:rPr>
        <w:t xml:space="preserve"> </w:t>
      </w:r>
      <w:r w:rsidR="00DE6696">
        <w:rPr>
          <w:rFonts w:asciiTheme="majorBidi" w:hAnsiTheme="majorBidi" w:cstheme="majorBidi"/>
          <w:sz w:val="24"/>
          <w:szCs w:val="24"/>
        </w:rPr>
        <w:t xml:space="preserve">Figure 3s shows that all </w:t>
      </w:r>
      <w:r w:rsidR="000E0C70">
        <w:rPr>
          <w:rFonts w:asciiTheme="majorBidi" w:hAnsiTheme="majorBidi" w:cstheme="majorBidi"/>
          <w:sz w:val="24"/>
          <w:szCs w:val="24"/>
        </w:rPr>
        <w:t xml:space="preserve">sparse points at high F107, </w:t>
      </w:r>
      <w:r w:rsidR="00B02E02">
        <w:rPr>
          <w:rFonts w:asciiTheme="majorBidi" w:hAnsiTheme="majorBidi" w:cstheme="majorBidi"/>
          <w:sz w:val="24"/>
          <w:szCs w:val="24"/>
        </w:rPr>
        <w:t>are observed the crest of the 24 solar cycle 24 during the year 2014.</w:t>
      </w:r>
      <w:r w:rsidR="00581647">
        <w:rPr>
          <w:rFonts w:asciiTheme="majorBidi" w:hAnsiTheme="majorBidi" w:cstheme="majorBidi"/>
          <w:sz w:val="24"/>
          <w:szCs w:val="24"/>
        </w:rPr>
        <w:t xml:space="preserve"> Which confirms the non-linearity </w:t>
      </w:r>
      <w:r w:rsidR="00993569">
        <w:rPr>
          <w:rFonts w:asciiTheme="majorBidi" w:hAnsiTheme="majorBidi" w:cstheme="majorBidi"/>
          <w:sz w:val="24"/>
          <w:szCs w:val="24"/>
        </w:rPr>
        <w:t>in hmF2 and NmF2 exist at higher solar activity levels</w:t>
      </w:r>
    </w:p>
    <w:p w14:paraId="4071CD74" w14:textId="5BB200AB" w:rsidR="001E2977" w:rsidRPr="00A614C2" w:rsidRDefault="001E2977" w:rsidP="001E2977">
      <w:pPr>
        <w:tabs>
          <w:tab w:val="left" w:pos="1080"/>
        </w:tabs>
        <w:ind w:hanging="630"/>
        <w:jc w:val="center"/>
        <w:rPr>
          <w:rFonts w:asciiTheme="majorBidi" w:eastAsia="Times New Roman" w:hAnsiTheme="majorBidi" w:cstheme="majorBidi"/>
          <w:color w:val="FF0000"/>
          <w:spacing w:val="6"/>
          <w:sz w:val="24"/>
          <w:szCs w:val="24"/>
        </w:rPr>
      </w:pPr>
    </w:p>
    <w:p w14:paraId="0252567B" w14:textId="77777777" w:rsidR="001E2977" w:rsidRDefault="001E2977" w:rsidP="001E2977">
      <w:pPr>
        <w:ind w:hanging="630"/>
        <w:rPr>
          <w:rFonts w:asciiTheme="majorBidi" w:eastAsia="Times New Roman" w:hAnsiTheme="majorBidi" w:cstheme="majorBidi"/>
          <w:spacing w:val="6"/>
          <w:sz w:val="24"/>
          <w:szCs w:val="24"/>
        </w:rPr>
      </w:pPr>
    </w:p>
    <w:p w14:paraId="7103F8EF" w14:textId="77777777" w:rsidR="001E2977" w:rsidRDefault="001E2977"/>
    <w:p w14:paraId="0CB35228" w14:textId="77777777" w:rsidR="0088524E" w:rsidRDefault="0088524E">
      <w:pPr>
        <w:sectPr w:rsidR="0088524E">
          <w:pgSz w:w="12240" w:h="15840"/>
          <w:pgMar w:top="1440" w:right="1440" w:bottom="1440" w:left="1440" w:header="720" w:footer="720" w:gutter="0"/>
          <w:cols w:space="720"/>
          <w:docGrid w:linePitch="360"/>
        </w:sectPr>
      </w:pPr>
    </w:p>
    <w:p w14:paraId="5D617218" w14:textId="77777777" w:rsidR="0088524E" w:rsidRDefault="0088524E"/>
    <w:p w14:paraId="086A196A" w14:textId="77777777" w:rsidR="0088524E" w:rsidRDefault="0088524E" w:rsidP="00246BBB">
      <w:pPr>
        <w:ind w:hanging="1170"/>
      </w:pPr>
      <w:r>
        <w:rPr>
          <w:noProof/>
        </w:rPr>
        <w:drawing>
          <wp:inline distT="0" distB="0" distL="0" distR="0" wp14:anchorId="1D00AEE6" wp14:editId="61D2D053">
            <wp:extent cx="9798812" cy="4572000"/>
            <wp:effectExtent l="0" t="0" r="0" b="0"/>
            <wp:docPr id="1501690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4487" r="5984"/>
                    <a:stretch/>
                  </pic:blipFill>
                  <pic:spPr bwMode="auto">
                    <a:xfrm>
                      <a:off x="0" y="0"/>
                      <a:ext cx="9809733" cy="4577096"/>
                    </a:xfrm>
                    <a:prstGeom prst="rect">
                      <a:avLst/>
                    </a:prstGeom>
                    <a:noFill/>
                    <a:ln>
                      <a:noFill/>
                    </a:ln>
                    <a:extLst>
                      <a:ext uri="{53640926-AAD7-44D8-BBD7-CCE9431645EC}">
                        <a14:shadowObscured xmlns:a14="http://schemas.microsoft.com/office/drawing/2010/main"/>
                      </a:ext>
                    </a:extLst>
                  </pic:spPr>
                </pic:pic>
              </a:graphicData>
            </a:graphic>
          </wp:inline>
        </w:drawing>
      </w:r>
    </w:p>
    <w:p w14:paraId="21F27BD9" w14:textId="4D9002FD" w:rsidR="006E4518" w:rsidRPr="0095070D" w:rsidRDefault="006E4518" w:rsidP="006E4518">
      <w:pPr>
        <w:rPr>
          <w:rFonts w:asciiTheme="majorBidi" w:eastAsia="Times New Roman" w:hAnsiTheme="majorBidi" w:cstheme="majorBidi"/>
          <w:b/>
          <w:bCs/>
          <w:spacing w:val="6"/>
          <w:sz w:val="24"/>
          <w:szCs w:val="24"/>
        </w:rPr>
      </w:pPr>
      <w:r w:rsidRPr="0095070D">
        <w:rPr>
          <w:rFonts w:asciiTheme="majorBidi" w:eastAsia="Times New Roman" w:hAnsiTheme="majorBidi" w:cstheme="majorBidi"/>
          <w:b/>
          <w:bCs/>
          <w:spacing w:val="6"/>
          <w:sz w:val="24"/>
          <w:szCs w:val="24"/>
        </w:rPr>
        <w:t>Fig.</w:t>
      </w:r>
      <w:r>
        <w:rPr>
          <w:rFonts w:asciiTheme="majorBidi" w:eastAsia="Times New Roman" w:hAnsiTheme="majorBidi" w:cstheme="majorBidi"/>
          <w:b/>
          <w:bCs/>
          <w:spacing w:val="6"/>
          <w:sz w:val="24"/>
          <w:szCs w:val="24"/>
        </w:rPr>
        <w:t>2s. a)</w:t>
      </w:r>
      <w:r w:rsidRPr="0095070D">
        <w:rPr>
          <w:rFonts w:asciiTheme="majorBidi" w:eastAsia="Times New Roman" w:hAnsiTheme="majorBidi" w:cstheme="majorBidi"/>
          <w:b/>
          <w:bCs/>
          <w:spacing w:val="6"/>
          <w:sz w:val="24"/>
          <w:szCs w:val="24"/>
        </w:rPr>
        <w:t xml:space="preserve"> The daily and its monthly average in black and red lines respectively with respect to year</w:t>
      </w:r>
      <w:r>
        <w:rPr>
          <w:rFonts w:asciiTheme="majorBidi" w:eastAsia="Times New Roman" w:hAnsiTheme="majorBidi" w:cstheme="majorBidi"/>
          <w:b/>
          <w:bCs/>
          <w:spacing w:val="6"/>
          <w:sz w:val="24"/>
          <w:szCs w:val="24"/>
        </w:rPr>
        <w:t>.</w:t>
      </w:r>
      <w:r w:rsidRPr="0095070D">
        <w:rPr>
          <w:rFonts w:asciiTheme="majorBidi" w:eastAsia="Times New Roman" w:hAnsiTheme="majorBidi" w:cstheme="majorBidi"/>
          <w:b/>
          <w:bCs/>
          <w:spacing w:val="6"/>
          <w:sz w:val="24"/>
          <w:szCs w:val="24"/>
        </w:rPr>
        <w:t xml:space="preserve"> </w:t>
      </w:r>
      <w:r>
        <w:rPr>
          <w:rFonts w:asciiTheme="majorBidi" w:eastAsia="Times New Roman" w:hAnsiTheme="majorBidi" w:cstheme="majorBidi"/>
          <w:b/>
          <w:bCs/>
          <w:spacing w:val="6"/>
          <w:sz w:val="24"/>
          <w:szCs w:val="24"/>
        </w:rPr>
        <w:t>The linear fitting between the</w:t>
      </w:r>
      <w:r w:rsidR="00534C9E">
        <w:rPr>
          <w:rFonts w:asciiTheme="majorBidi" w:eastAsia="Times New Roman" w:hAnsiTheme="majorBidi" w:cstheme="majorBidi"/>
          <w:b/>
          <w:bCs/>
          <w:spacing w:val="6"/>
          <w:sz w:val="24"/>
          <w:szCs w:val="24"/>
        </w:rPr>
        <w:t xml:space="preserve"> noon time</w:t>
      </w:r>
      <w:r>
        <w:rPr>
          <w:rFonts w:asciiTheme="majorBidi" w:eastAsia="Times New Roman" w:hAnsiTheme="majorBidi" w:cstheme="majorBidi"/>
          <w:b/>
          <w:bCs/>
          <w:spacing w:val="6"/>
          <w:sz w:val="24"/>
          <w:szCs w:val="24"/>
        </w:rPr>
        <w:t xml:space="preserve"> </w:t>
      </w:r>
      <w:r w:rsidR="00CD4076">
        <w:rPr>
          <w:rFonts w:asciiTheme="majorBidi" w:eastAsia="Times New Roman" w:hAnsiTheme="majorBidi" w:cstheme="majorBidi"/>
          <w:b/>
          <w:bCs/>
          <w:spacing w:val="6"/>
          <w:sz w:val="24"/>
          <w:szCs w:val="24"/>
        </w:rPr>
        <w:t xml:space="preserve">NmF2 and the solar flux </w:t>
      </w:r>
      <w:r w:rsidR="006A2658">
        <w:rPr>
          <w:rFonts w:asciiTheme="majorBidi" w:eastAsia="Times New Roman" w:hAnsiTheme="majorBidi" w:cstheme="majorBidi"/>
          <w:b/>
          <w:bCs/>
          <w:spacing w:val="6"/>
          <w:sz w:val="24"/>
          <w:szCs w:val="24"/>
        </w:rPr>
        <w:t xml:space="preserve">for winter, spring, summer and autumn season in blue, green, red and </w:t>
      </w:r>
      <w:r w:rsidR="00604FB1">
        <w:rPr>
          <w:rFonts w:asciiTheme="majorBidi" w:eastAsia="Times New Roman" w:hAnsiTheme="majorBidi" w:cstheme="majorBidi"/>
          <w:b/>
          <w:bCs/>
          <w:spacing w:val="6"/>
          <w:sz w:val="24"/>
          <w:szCs w:val="24"/>
        </w:rPr>
        <w:t>black color respectively.</w:t>
      </w:r>
    </w:p>
    <w:p w14:paraId="3785C565" w14:textId="77777777" w:rsidR="006E4518" w:rsidRDefault="006E4518" w:rsidP="00246BBB">
      <w:pPr>
        <w:ind w:hanging="1170"/>
      </w:pPr>
    </w:p>
    <w:p w14:paraId="61F7668D" w14:textId="77777777" w:rsidR="002E5887" w:rsidRDefault="002E5887" w:rsidP="001237B6">
      <w:pPr>
        <w:ind w:left="-630"/>
        <w:jc w:val="center"/>
      </w:pPr>
      <w:r>
        <w:rPr>
          <w:noProof/>
        </w:rPr>
        <w:lastRenderedPageBreak/>
        <w:drawing>
          <wp:inline distT="0" distB="0" distL="0" distR="0" wp14:anchorId="13CD0989" wp14:editId="48760302">
            <wp:extent cx="7392670" cy="5252484"/>
            <wp:effectExtent l="0" t="0" r="0" b="5715"/>
            <wp:docPr id="547124606" name="Picture 8" descr="Several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24606" name="Picture 8" descr="Several different colored dot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4342" cy="5260777"/>
                    </a:xfrm>
                    <a:prstGeom prst="rect">
                      <a:avLst/>
                    </a:prstGeom>
                    <a:noFill/>
                    <a:ln>
                      <a:noFill/>
                    </a:ln>
                  </pic:spPr>
                </pic:pic>
              </a:graphicData>
            </a:graphic>
          </wp:inline>
        </w:drawing>
      </w:r>
    </w:p>
    <w:p w14:paraId="36EB163B" w14:textId="66E7A8B4" w:rsidR="001237B6" w:rsidRDefault="00993569" w:rsidP="00993569">
      <w:pPr>
        <w:sectPr w:rsidR="001237B6" w:rsidSect="0088524E">
          <w:pgSz w:w="15840" w:h="12240" w:orient="landscape"/>
          <w:pgMar w:top="1440" w:right="1440" w:bottom="1440" w:left="1440" w:header="720" w:footer="720" w:gutter="0"/>
          <w:cols w:space="720"/>
          <w:docGrid w:linePitch="360"/>
        </w:sectPr>
      </w:pPr>
      <w:r w:rsidRPr="0095070D">
        <w:rPr>
          <w:rFonts w:asciiTheme="majorBidi" w:eastAsia="Times New Roman" w:hAnsiTheme="majorBidi" w:cstheme="majorBidi"/>
          <w:b/>
          <w:bCs/>
          <w:spacing w:val="6"/>
          <w:sz w:val="24"/>
          <w:szCs w:val="24"/>
        </w:rPr>
        <w:t>Fig.</w:t>
      </w:r>
      <w:r w:rsidR="00087AC6">
        <w:rPr>
          <w:rFonts w:asciiTheme="majorBidi" w:eastAsia="Times New Roman" w:hAnsiTheme="majorBidi" w:cstheme="majorBidi"/>
          <w:b/>
          <w:bCs/>
          <w:spacing w:val="6"/>
          <w:sz w:val="24"/>
          <w:szCs w:val="24"/>
        </w:rPr>
        <w:t>3</w:t>
      </w:r>
      <w:r>
        <w:rPr>
          <w:rFonts w:asciiTheme="majorBidi" w:eastAsia="Times New Roman" w:hAnsiTheme="majorBidi" w:cstheme="majorBidi"/>
          <w:b/>
          <w:bCs/>
          <w:spacing w:val="6"/>
          <w:sz w:val="24"/>
          <w:szCs w:val="24"/>
        </w:rPr>
        <w:t>s. a)</w:t>
      </w:r>
      <w:r w:rsidRPr="0095070D">
        <w:rPr>
          <w:rFonts w:asciiTheme="majorBidi" w:eastAsia="Times New Roman" w:hAnsiTheme="majorBidi" w:cstheme="majorBidi"/>
          <w:b/>
          <w:bCs/>
          <w:spacing w:val="6"/>
          <w:sz w:val="24"/>
          <w:szCs w:val="24"/>
        </w:rPr>
        <w:t xml:space="preserve"> </w:t>
      </w:r>
      <w:r w:rsidR="00087AC6">
        <w:rPr>
          <w:rFonts w:asciiTheme="majorBidi" w:eastAsia="Times New Roman" w:hAnsiTheme="majorBidi" w:cstheme="majorBidi"/>
          <w:b/>
          <w:bCs/>
          <w:spacing w:val="6"/>
          <w:sz w:val="24"/>
          <w:szCs w:val="24"/>
        </w:rPr>
        <w:t>A scatter plot of the relationship between the solar flux index F10.7</w:t>
      </w:r>
      <w:r w:rsidR="00C217C9">
        <w:rPr>
          <w:rFonts w:asciiTheme="majorBidi" w:eastAsia="Times New Roman" w:hAnsiTheme="majorBidi" w:cstheme="majorBidi"/>
          <w:b/>
          <w:bCs/>
          <w:spacing w:val="6"/>
          <w:sz w:val="24"/>
          <w:szCs w:val="24"/>
        </w:rPr>
        <w:t xml:space="preserve"> and the </w:t>
      </w:r>
      <w:r w:rsidR="00351691">
        <w:rPr>
          <w:rFonts w:asciiTheme="majorBidi" w:eastAsia="Times New Roman" w:hAnsiTheme="majorBidi" w:cstheme="majorBidi"/>
          <w:b/>
          <w:bCs/>
          <w:spacing w:val="6"/>
          <w:sz w:val="24"/>
          <w:szCs w:val="24"/>
        </w:rPr>
        <w:t xml:space="preserve">NmF2 in north and </w:t>
      </w:r>
      <w:r w:rsidR="00BC3BCB">
        <w:rPr>
          <w:rFonts w:asciiTheme="majorBidi" w:eastAsia="Times New Roman" w:hAnsiTheme="majorBidi" w:cstheme="majorBidi"/>
          <w:b/>
          <w:bCs/>
          <w:spacing w:val="6"/>
          <w:sz w:val="24"/>
          <w:szCs w:val="24"/>
        </w:rPr>
        <w:t>south hemisphere in upper and lower panel of the left columns</w:t>
      </w:r>
      <w:r w:rsidR="003505FA">
        <w:rPr>
          <w:rFonts w:asciiTheme="majorBidi" w:eastAsia="Times New Roman" w:hAnsiTheme="majorBidi" w:cstheme="majorBidi"/>
          <w:b/>
          <w:bCs/>
          <w:spacing w:val="6"/>
          <w:sz w:val="24"/>
          <w:szCs w:val="24"/>
        </w:rPr>
        <w:t xml:space="preserve"> respectively</w:t>
      </w:r>
      <w:r w:rsidR="002C64CD">
        <w:rPr>
          <w:rFonts w:asciiTheme="majorBidi" w:eastAsia="Times New Roman" w:hAnsiTheme="majorBidi" w:cstheme="majorBidi"/>
          <w:b/>
          <w:bCs/>
          <w:spacing w:val="6"/>
          <w:sz w:val="24"/>
          <w:szCs w:val="24"/>
        </w:rPr>
        <w:t xml:space="preserve">. Similarly, </w:t>
      </w:r>
      <w:r w:rsidR="000F0C7D">
        <w:rPr>
          <w:rFonts w:asciiTheme="majorBidi" w:eastAsia="Times New Roman" w:hAnsiTheme="majorBidi" w:cstheme="majorBidi"/>
          <w:b/>
          <w:bCs/>
          <w:spacing w:val="6"/>
          <w:sz w:val="24"/>
          <w:szCs w:val="24"/>
        </w:rPr>
        <w:t>the right column</w:t>
      </w:r>
      <w:r w:rsidR="002C64CD">
        <w:rPr>
          <w:rFonts w:asciiTheme="majorBidi" w:eastAsia="Times New Roman" w:hAnsiTheme="majorBidi" w:cstheme="majorBidi"/>
          <w:b/>
          <w:bCs/>
          <w:spacing w:val="6"/>
          <w:sz w:val="24"/>
          <w:szCs w:val="24"/>
        </w:rPr>
        <w:t>, but for the F10</w:t>
      </w:r>
      <w:r w:rsidR="00AB7A48">
        <w:rPr>
          <w:rFonts w:asciiTheme="majorBidi" w:eastAsia="Times New Roman" w:hAnsiTheme="majorBidi" w:cstheme="majorBidi"/>
          <w:b/>
          <w:bCs/>
          <w:spacing w:val="6"/>
          <w:sz w:val="24"/>
          <w:szCs w:val="24"/>
        </w:rPr>
        <w:t>.7 w.R.t the hmF2.</w:t>
      </w:r>
      <w:r w:rsidR="00BA56E1">
        <w:rPr>
          <w:rFonts w:asciiTheme="majorBidi" w:eastAsia="Times New Roman" w:hAnsiTheme="majorBidi" w:cstheme="majorBidi"/>
          <w:b/>
          <w:bCs/>
          <w:spacing w:val="6"/>
          <w:sz w:val="24"/>
          <w:szCs w:val="24"/>
        </w:rPr>
        <w:t xml:space="preserve"> W</w:t>
      </w:r>
      <w:r>
        <w:rPr>
          <w:rFonts w:asciiTheme="majorBidi" w:eastAsia="Times New Roman" w:hAnsiTheme="majorBidi" w:cstheme="majorBidi"/>
          <w:b/>
          <w:bCs/>
          <w:spacing w:val="6"/>
          <w:sz w:val="24"/>
          <w:szCs w:val="24"/>
        </w:rPr>
        <w:t>inter, spring, summer and autumn season in blue, green, red and black color respectively.</w:t>
      </w:r>
    </w:p>
    <w:p w14:paraId="32946189" w14:textId="7A58ACD3" w:rsidR="0088524E" w:rsidRDefault="0088524E"/>
    <w:p w14:paraId="13F02065" w14:textId="77777777" w:rsidR="00C7418A" w:rsidRDefault="00C7418A"/>
    <w:p w14:paraId="648A87E3" w14:textId="77777777" w:rsidR="00C7418A" w:rsidRDefault="00C7418A"/>
    <w:p w14:paraId="623407F8" w14:textId="77777777" w:rsidR="00C7418A" w:rsidRDefault="00C7418A"/>
    <w:p w14:paraId="3C1AFF43" w14:textId="77777777" w:rsidR="00C7418A" w:rsidRDefault="00C7418A"/>
    <w:sectPr w:rsidR="00C74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3D"/>
    <w:rsid w:val="00052529"/>
    <w:rsid w:val="00063182"/>
    <w:rsid w:val="00087AC6"/>
    <w:rsid w:val="000E0C70"/>
    <w:rsid w:val="000F0C7D"/>
    <w:rsid w:val="00110EB2"/>
    <w:rsid w:val="00122AED"/>
    <w:rsid w:val="001237B6"/>
    <w:rsid w:val="0014194A"/>
    <w:rsid w:val="0017490F"/>
    <w:rsid w:val="001A1B29"/>
    <w:rsid w:val="001B5A3D"/>
    <w:rsid w:val="001E2977"/>
    <w:rsid w:val="001F135E"/>
    <w:rsid w:val="001F6312"/>
    <w:rsid w:val="00204584"/>
    <w:rsid w:val="002332E9"/>
    <w:rsid w:val="00246BBB"/>
    <w:rsid w:val="00270B8E"/>
    <w:rsid w:val="002907C8"/>
    <w:rsid w:val="002A6088"/>
    <w:rsid w:val="002A6432"/>
    <w:rsid w:val="002B3767"/>
    <w:rsid w:val="002C64CD"/>
    <w:rsid w:val="002D7595"/>
    <w:rsid w:val="002E5887"/>
    <w:rsid w:val="002F3CC1"/>
    <w:rsid w:val="00316E56"/>
    <w:rsid w:val="003505FA"/>
    <w:rsid w:val="00351691"/>
    <w:rsid w:val="004122AB"/>
    <w:rsid w:val="004442ED"/>
    <w:rsid w:val="004738BD"/>
    <w:rsid w:val="00485F43"/>
    <w:rsid w:val="00497F4A"/>
    <w:rsid w:val="00534C9E"/>
    <w:rsid w:val="0053602A"/>
    <w:rsid w:val="00581647"/>
    <w:rsid w:val="00596BC5"/>
    <w:rsid w:val="005F7236"/>
    <w:rsid w:val="00604FB1"/>
    <w:rsid w:val="0067716A"/>
    <w:rsid w:val="006A2658"/>
    <w:rsid w:val="006C195B"/>
    <w:rsid w:val="006E4518"/>
    <w:rsid w:val="00782521"/>
    <w:rsid w:val="007A2DD6"/>
    <w:rsid w:val="007D7B76"/>
    <w:rsid w:val="007E61C1"/>
    <w:rsid w:val="0088524E"/>
    <w:rsid w:val="008A135D"/>
    <w:rsid w:val="009042D9"/>
    <w:rsid w:val="00966F08"/>
    <w:rsid w:val="00973835"/>
    <w:rsid w:val="00993569"/>
    <w:rsid w:val="009B4299"/>
    <w:rsid w:val="00A00168"/>
    <w:rsid w:val="00A15CDB"/>
    <w:rsid w:val="00A32382"/>
    <w:rsid w:val="00A40755"/>
    <w:rsid w:val="00AB7A48"/>
    <w:rsid w:val="00AE09C8"/>
    <w:rsid w:val="00B02E02"/>
    <w:rsid w:val="00B1416A"/>
    <w:rsid w:val="00BA56E1"/>
    <w:rsid w:val="00BC3BCB"/>
    <w:rsid w:val="00BD11B0"/>
    <w:rsid w:val="00C217C9"/>
    <w:rsid w:val="00C6393D"/>
    <w:rsid w:val="00C7418A"/>
    <w:rsid w:val="00CD4076"/>
    <w:rsid w:val="00CF7870"/>
    <w:rsid w:val="00D025F3"/>
    <w:rsid w:val="00D8336E"/>
    <w:rsid w:val="00D97405"/>
    <w:rsid w:val="00DC0A77"/>
    <w:rsid w:val="00DC21AD"/>
    <w:rsid w:val="00DE6696"/>
    <w:rsid w:val="00DF6966"/>
    <w:rsid w:val="00EC5199"/>
    <w:rsid w:val="00F12102"/>
    <w:rsid w:val="00F83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87DCA"/>
  <w15:chartTrackingRefBased/>
  <w15:docId w15:val="{2442B88B-6E82-4371-9ADE-957ECA79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A04"/>
    <w:rPr>
      <w:kern w:val="0"/>
      <w14:ligatures w14:val="none"/>
    </w:rPr>
  </w:style>
  <w:style w:type="paragraph" w:styleId="Heading1">
    <w:name w:val="heading 1"/>
    <w:basedOn w:val="Normal"/>
    <w:next w:val="Normal"/>
    <w:link w:val="Heading1Char"/>
    <w:uiPriority w:val="9"/>
    <w:qFormat/>
    <w:rsid w:val="00C6393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393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393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393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6393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393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393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393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393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9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39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39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39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39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3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93D"/>
    <w:rPr>
      <w:rFonts w:eastAsiaTheme="majorEastAsia" w:cstheme="majorBidi"/>
      <w:color w:val="272727" w:themeColor="text1" w:themeTint="D8"/>
    </w:rPr>
  </w:style>
  <w:style w:type="paragraph" w:styleId="Title">
    <w:name w:val="Title"/>
    <w:basedOn w:val="Normal"/>
    <w:next w:val="Normal"/>
    <w:link w:val="TitleChar"/>
    <w:uiPriority w:val="10"/>
    <w:qFormat/>
    <w:rsid w:val="00C6393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3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93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3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93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6393D"/>
    <w:rPr>
      <w:i/>
      <w:iCs/>
      <w:color w:val="404040" w:themeColor="text1" w:themeTint="BF"/>
    </w:rPr>
  </w:style>
  <w:style w:type="paragraph" w:styleId="ListParagraph">
    <w:name w:val="List Paragraph"/>
    <w:basedOn w:val="Normal"/>
    <w:uiPriority w:val="34"/>
    <w:qFormat/>
    <w:rsid w:val="00C6393D"/>
    <w:pPr>
      <w:ind w:left="720"/>
      <w:contextualSpacing/>
    </w:pPr>
    <w:rPr>
      <w:kern w:val="2"/>
      <w14:ligatures w14:val="standardContextual"/>
    </w:rPr>
  </w:style>
  <w:style w:type="character" w:styleId="IntenseEmphasis">
    <w:name w:val="Intense Emphasis"/>
    <w:basedOn w:val="DefaultParagraphFont"/>
    <w:uiPriority w:val="21"/>
    <w:qFormat/>
    <w:rsid w:val="00C6393D"/>
    <w:rPr>
      <w:i/>
      <w:iCs/>
      <w:color w:val="2F5496" w:themeColor="accent1" w:themeShade="BF"/>
    </w:rPr>
  </w:style>
  <w:style w:type="paragraph" w:styleId="IntenseQuote">
    <w:name w:val="Intense Quote"/>
    <w:basedOn w:val="Normal"/>
    <w:next w:val="Normal"/>
    <w:link w:val="IntenseQuoteChar"/>
    <w:uiPriority w:val="30"/>
    <w:qFormat/>
    <w:rsid w:val="00C639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6393D"/>
    <w:rPr>
      <w:i/>
      <w:iCs/>
      <w:color w:val="2F5496" w:themeColor="accent1" w:themeShade="BF"/>
    </w:rPr>
  </w:style>
  <w:style w:type="character" w:styleId="IntenseReference">
    <w:name w:val="Intense Reference"/>
    <w:basedOn w:val="DefaultParagraphFont"/>
    <w:uiPriority w:val="32"/>
    <w:qFormat/>
    <w:rsid w:val="00C639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Fathy</dc:creator>
  <cp:keywords/>
  <dc:description/>
  <cp:lastModifiedBy>Adel Fathy</cp:lastModifiedBy>
  <cp:revision>80</cp:revision>
  <dcterms:created xsi:type="dcterms:W3CDTF">2024-10-03T10:28:00Z</dcterms:created>
  <dcterms:modified xsi:type="dcterms:W3CDTF">2024-10-05T15:39:00Z</dcterms:modified>
</cp:coreProperties>
</file>