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0B3052" w14:textId="154E454B" w:rsidR="00882F8C" w:rsidRDefault="003A30C0">
      <w:r>
        <w:rPr>
          <w:noProof/>
        </w:rPr>
        <w:drawing>
          <wp:inline distT="0" distB="0" distL="0" distR="0" wp14:anchorId="65C0D1A7" wp14:editId="2F5767A4">
            <wp:extent cx="5400040" cy="2473325"/>
            <wp:effectExtent l="0" t="0" r="0" b="3175"/>
            <wp:docPr id="422019738" name="圖片 1" descr="一張含有 廚房電器, 家用電器, 小型家電, 設備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019738" name="圖片 1" descr="一張含有 廚房電器, 家用電器, 小型家電, 設備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47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5890B1" w14:textId="77777777" w:rsidR="003A30C0" w:rsidRDefault="003A30C0" w:rsidP="003A30C0">
      <w:pPr>
        <w:pStyle w:val="Web"/>
        <w:spacing w:before="0" w:beforeAutospacing="0" w:after="0" w:afterAutospacing="0"/>
        <w:jc w:val="both"/>
      </w:pPr>
      <w:r>
        <w:rPr>
          <w:rFonts w:ascii="Arial" w:hAnsi="Arial" w:cs="Arial"/>
          <w:b/>
          <w:bCs/>
          <w:color w:val="0D0D0D"/>
          <w:kern w:val="24"/>
        </w:rPr>
        <w:t xml:space="preserve">Fig. S1 Establishment of microcosm setup and rice cultivation. </w:t>
      </w:r>
      <w:r>
        <w:rPr>
          <w:rFonts w:ascii="Arial" w:hAnsi="Arial" w:cs="Arial"/>
          <w:color w:val="0D0D0D"/>
          <w:kern w:val="24"/>
        </w:rPr>
        <w:t>(</w:t>
      </w:r>
      <w:r>
        <w:rPr>
          <w:rFonts w:ascii="Arial" w:hAnsi="Arial" w:cs="Arial"/>
          <w:b/>
          <w:bCs/>
          <w:color w:val="0D0D0D"/>
          <w:kern w:val="24"/>
        </w:rPr>
        <w:t>a</w:t>
      </w:r>
      <w:r>
        <w:rPr>
          <w:rFonts w:ascii="Arial" w:hAnsi="Arial" w:cs="Arial"/>
          <w:color w:val="0D0D0D"/>
          <w:kern w:val="24"/>
        </w:rPr>
        <w:t>) A 60 mL plastic cup (basal diameter: 3.5 cm) was filled with 15 g of paddy soil. (</w:t>
      </w:r>
      <w:r>
        <w:rPr>
          <w:rFonts w:ascii="Arial" w:hAnsi="Arial" w:cs="Arial"/>
          <w:b/>
          <w:bCs/>
          <w:color w:val="0D0D0D"/>
          <w:kern w:val="24"/>
        </w:rPr>
        <w:t>b</w:t>
      </w:r>
      <w:r>
        <w:rPr>
          <w:rFonts w:ascii="Arial" w:hAnsi="Arial" w:cs="Arial"/>
          <w:color w:val="0D0D0D"/>
          <w:kern w:val="24"/>
        </w:rPr>
        <w:t>) A nylon mesh with 30 µM pore size was sandwiched between two bottomless cups. (</w:t>
      </w:r>
      <w:r>
        <w:rPr>
          <w:rFonts w:ascii="Arial" w:hAnsi="Arial" w:cs="Arial"/>
          <w:b/>
          <w:bCs/>
          <w:color w:val="0D0D0D"/>
          <w:kern w:val="24"/>
        </w:rPr>
        <w:t>c</w:t>
      </w:r>
      <w:r>
        <w:rPr>
          <w:rFonts w:ascii="Arial" w:hAnsi="Arial" w:cs="Arial"/>
          <w:color w:val="0D0D0D"/>
          <w:kern w:val="24"/>
        </w:rPr>
        <w:t xml:space="preserve">) The assembly of </w:t>
      </w:r>
      <w:r>
        <w:rPr>
          <w:rFonts w:ascii="Arial" w:hAnsi="Arial" w:cs="Arial"/>
          <w:b/>
          <w:bCs/>
          <w:color w:val="0D0D0D"/>
          <w:kern w:val="24"/>
        </w:rPr>
        <w:t>a</w:t>
      </w:r>
      <w:r>
        <w:rPr>
          <w:rFonts w:ascii="Arial" w:hAnsi="Arial" w:cs="Arial"/>
          <w:color w:val="0D0D0D"/>
          <w:kern w:val="24"/>
        </w:rPr>
        <w:t xml:space="preserve"> and </w:t>
      </w:r>
      <w:r>
        <w:rPr>
          <w:rFonts w:ascii="Arial" w:hAnsi="Arial" w:cs="Arial"/>
          <w:b/>
          <w:bCs/>
          <w:color w:val="0D0D0D"/>
          <w:kern w:val="24"/>
        </w:rPr>
        <w:t>b</w:t>
      </w:r>
      <w:r>
        <w:rPr>
          <w:rFonts w:ascii="Arial" w:hAnsi="Arial" w:cs="Arial"/>
          <w:color w:val="0D0D0D"/>
          <w:kern w:val="24"/>
        </w:rPr>
        <w:t>. (</w:t>
      </w:r>
      <w:r>
        <w:rPr>
          <w:rFonts w:ascii="Arial" w:hAnsi="Arial" w:cs="Arial"/>
          <w:b/>
          <w:bCs/>
          <w:color w:val="0D0D0D"/>
          <w:kern w:val="24"/>
        </w:rPr>
        <w:t>d</w:t>
      </w:r>
      <w:r>
        <w:rPr>
          <w:rFonts w:ascii="Arial" w:hAnsi="Arial" w:cs="Arial"/>
          <w:color w:val="0D0D0D"/>
          <w:kern w:val="24"/>
        </w:rPr>
        <w:t>) C filled with 30 g of paddy soils. (</w:t>
      </w:r>
      <w:r>
        <w:rPr>
          <w:rFonts w:ascii="Arial" w:hAnsi="Arial" w:cs="Arial"/>
          <w:b/>
          <w:bCs/>
          <w:color w:val="0D0D0D"/>
          <w:kern w:val="24"/>
        </w:rPr>
        <w:t>e</w:t>
      </w:r>
      <w:r>
        <w:rPr>
          <w:rFonts w:ascii="Arial" w:hAnsi="Arial" w:cs="Arial"/>
          <w:color w:val="0D0D0D"/>
          <w:kern w:val="24"/>
        </w:rPr>
        <w:t>) The</w:t>
      </w:r>
      <w:r>
        <w:rPr>
          <w:rFonts w:ascii="Arial" w:hAnsi="Arial" w:cs="Arial"/>
          <w:b/>
          <w:bCs/>
          <w:color w:val="0D0D0D"/>
          <w:kern w:val="24"/>
        </w:rPr>
        <w:t xml:space="preserve"> </w:t>
      </w:r>
      <w:r>
        <w:rPr>
          <w:rFonts w:ascii="Arial" w:hAnsi="Arial" w:cs="Arial"/>
          <w:color w:val="0D0D0D"/>
          <w:kern w:val="24"/>
        </w:rPr>
        <w:t>microcosm setup was put in a 210 mL plastic cup (basal diameter: 4.5 cm) and immersed in tap water for two weeks (</w:t>
      </w:r>
      <w:r>
        <w:rPr>
          <w:rFonts w:ascii="Arial" w:hAnsi="Arial" w:cs="Arial"/>
          <w:b/>
          <w:bCs/>
          <w:color w:val="0D0D0D"/>
          <w:kern w:val="24"/>
        </w:rPr>
        <w:t>f</w:t>
      </w:r>
      <w:r>
        <w:rPr>
          <w:rFonts w:ascii="Arial" w:hAnsi="Arial" w:cs="Arial"/>
          <w:color w:val="0D0D0D"/>
          <w:kern w:val="24"/>
        </w:rPr>
        <w:t>). (</w:t>
      </w:r>
      <w:r>
        <w:rPr>
          <w:rFonts w:ascii="Arial" w:hAnsi="Arial" w:cs="Arial"/>
          <w:b/>
          <w:bCs/>
          <w:color w:val="0D0D0D"/>
          <w:kern w:val="24"/>
        </w:rPr>
        <w:t>g</w:t>
      </w:r>
      <w:r>
        <w:rPr>
          <w:rFonts w:ascii="Arial" w:hAnsi="Arial" w:cs="Arial"/>
          <w:color w:val="0D0D0D"/>
          <w:kern w:val="24"/>
        </w:rPr>
        <w:t>) 4-day germinated seedlings were grown in the full nutrient commercial soil for one week. (</w:t>
      </w:r>
      <w:r>
        <w:rPr>
          <w:rFonts w:ascii="Arial" w:hAnsi="Arial" w:cs="Arial"/>
          <w:b/>
          <w:bCs/>
          <w:color w:val="0D0D0D"/>
          <w:kern w:val="24"/>
        </w:rPr>
        <w:t>h</w:t>
      </w:r>
      <w:r>
        <w:rPr>
          <w:rFonts w:ascii="Arial" w:hAnsi="Arial" w:cs="Arial"/>
          <w:color w:val="0D0D0D"/>
          <w:kern w:val="24"/>
        </w:rPr>
        <w:t>) Seedlings were then transferred to the prepared rhizo-boxes for another three weeks. (</w:t>
      </w:r>
      <w:proofErr w:type="spellStart"/>
      <w:r>
        <w:rPr>
          <w:rFonts w:ascii="Arial" w:hAnsi="Arial" w:cs="Arial"/>
          <w:b/>
          <w:bCs/>
          <w:color w:val="0D0D0D"/>
          <w:kern w:val="24"/>
        </w:rPr>
        <w:t>i</w:t>
      </w:r>
      <w:proofErr w:type="spellEnd"/>
      <w:r>
        <w:rPr>
          <w:rFonts w:ascii="Arial" w:hAnsi="Arial" w:cs="Arial"/>
          <w:color w:val="0D0D0D"/>
          <w:kern w:val="24"/>
        </w:rPr>
        <w:t>) Soil samples were collected from the upper cup (rhizosphere soil) and from the lower cup (bulk soil) separated by the nylon mesh.</w:t>
      </w:r>
    </w:p>
    <w:p w14:paraId="32FB74C0" w14:textId="74E34762" w:rsidR="00AA0A99" w:rsidRDefault="00AA0A99"/>
    <w:p w14:paraId="4E366F57" w14:textId="77777777" w:rsidR="00AA0A99" w:rsidRDefault="00AA0A99">
      <w:pPr>
        <w:widowControl/>
      </w:pPr>
      <w:r>
        <w:br w:type="page"/>
      </w:r>
    </w:p>
    <w:p w14:paraId="379F49E9" w14:textId="1E86174F" w:rsidR="003A30C0" w:rsidRDefault="00581318" w:rsidP="00570F3C">
      <w:pPr>
        <w:jc w:val="center"/>
      </w:pPr>
      <w:r>
        <w:rPr>
          <w:noProof/>
        </w:rPr>
        <w:lastRenderedPageBreak/>
        <w:drawing>
          <wp:inline distT="0" distB="0" distL="0" distR="0" wp14:anchorId="4023D2C2" wp14:editId="3A60171E">
            <wp:extent cx="3450590" cy="4692015"/>
            <wp:effectExtent l="0" t="0" r="0" b="0"/>
            <wp:docPr id="2031140730" name="圖片 2" descr="一張含有 文字, 螢幕擷取畫面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140730" name="圖片 2" descr="一張含有 文字, 螢幕擷取畫面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590" cy="469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61259" w14:textId="77777777" w:rsidR="00A46D60" w:rsidRPr="00FE3830" w:rsidRDefault="00A46D60" w:rsidP="00A46D60">
      <w:pPr>
        <w:pStyle w:val="Web"/>
        <w:spacing w:before="0" w:beforeAutospacing="0" w:after="0" w:afterAutospacing="0"/>
        <w:contextualSpacing/>
        <w:jc w:val="both"/>
        <w:rPr>
          <w:rFonts w:eastAsia="Yu Mincho" w:hint="eastAsia"/>
          <w:lang w:eastAsia="ja-JP"/>
        </w:rPr>
      </w:pPr>
      <w:r>
        <w:rPr>
          <w:rFonts w:ascii="Arial" w:hAnsi="Arial" w:cs="Arial"/>
          <w:b/>
          <w:bCs/>
          <w:color w:val="000000"/>
          <w:kern w:val="24"/>
        </w:rPr>
        <w:t>Fig. S2 Local Manhattan plots of peak regions on chromosome</w:t>
      </w:r>
      <w:r>
        <w:rPr>
          <w:rFonts w:ascii="Arial" w:eastAsia="Yu Mincho" w:hAnsi="Arial" w:cs="Arial" w:hint="eastAsia"/>
          <w:b/>
          <w:bCs/>
          <w:color w:val="000000"/>
          <w:kern w:val="24"/>
          <w:lang w:eastAsia="ja-JP"/>
        </w:rPr>
        <w:t>s</w:t>
      </w:r>
      <w:r>
        <w:rPr>
          <w:rFonts w:ascii="Arial" w:hAnsi="Arial" w:cs="Arial"/>
          <w:b/>
          <w:bCs/>
          <w:color w:val="000000"/>
          <w:kern w:val="24"/>
        </w:rPr>
        <w:t xml:space="preserve"> 2 and 4. </w:t>
      </w:r>
      <w:r>
        <w:rPr>
          <w:rFonts w:ascii="Arial" w:hAnsi="Arial" w:cs="Arial"/>
          <w:color w:val="000000"/>
          <w:kern w:val="24"/>
        </w:rPr>
        <w:t>LD heatmaps (bottom) evaluated genetic linkage of SNPs and indels in those peak areas by the squared correlation coefficient (</w:t>
      </w:r>
      <w:r>
        <w:rPr>
          <w:rFonts w:ascii="Arial" w:hAnsi="Arial" w:cs="Arial"/>
          <w:i/>
          <w:iCs/>
          <w:color w:val="000000"/>
          <w:kern w:val="24"/>
        </w:rPr>
        <w:t>r</w:t>
      </w:r>
      <w:r>
        <w:rPr>
          <w:rFonts w:ascii="Arial" w:hAnsi="Arial" w:cs="Arial"/>
          <w:i/>
          <w:iCs/>
          <w:color w:val="000000"/>
          <w:kern w:val="24"/>
          <w:position w:val="7"/>
          <w:vertAlign w:val="superscript"/>
        </w:rPr>
        <w:t>2</w:t>
      </w:r>
      <w:r>
        <w:rPr>
          <w:rFonts w:ascii="Arial" w:hAnsi="Arial" w:cs="Arial"/>
          <w:color w:val="000000"/>
          <w:kern w:val="24"/>
        </w:rPr>
        <w:t xml:space="preserve">) value. </w:t>
      </w:r>
      <w:r w:rsidRPr="008F1B97">
        <w:rPr>
          <w:rFonts w:ascii="Arial" w:hAnsi="Arial" w:cs="Arial"/>
          <w:color w:val="000000"/>
          <w:kern w:val="24"/>
        </w:rPr>
        <w:t>The y-axis represents -log</w:t>
      </w:r>
      <w:r w:rsidRPr="008F1B97">
        <w:rPr>
          <w:rFonts w:ascii="Arial" w:hAnsi="Arial" w:cs="Arial"/>
          <w:color w:val="000000"/>
          <w:kern w:val="24"/>
          <w:vertAlign w:val="subscript"/>
        </w:rPr>
        <w:t>10</w:t>
      </w:r>
      <w:r w:rsidRPr="008F1B97">
        <w:rPr>
          <w:rFonts w:ascii="Arial" w:hAnsi="Arial" w:cs="Arial"/>
          <w:color w:val="000000"/>
          <w:kern w:val="24"/>
        </w:rPr>
        <w:t xml:space="preserve"> (</w:t>
      </w:r>
      <w:r w:rsidRPr="008F1B97">
        <w:rPr>
          <w:rFonts w:ascii="Arial" w:hAnsi="Arial" w:cs="Arial"/>
          <w:i/>
          <w:iCs/>
          <w:color w:val="000000"/>
          <w:kern w:val="24"/>
        </w:rPr>
        <w:t>p-</w:t>
      </w:r>
      <w:r w:rsidRPr="008F1B97">
        <w:rPr>
          <w:rFonts w:ascii="Arial" w:hAnsi="Arial" w:cs="Arial"/>
          <w:color w:val="000000"/>
          <w:kern w:val="24"/>
        </w:rPr>
        <w:t xml:space="preserve">value), indicating the significance of the SNPs and indels, while the x-axis scale indicates their positions on the chromosomes. </w:t>
      </w:r>
      <w:r>
        <w:rPr>
          <w:rFonts w:ascii="Arial" w:hAnsi="Arial" w:cs="Arial"/>
          <w:color w:val="000000"/>
          <w:kern w:val="24"/>
        </w:rPr>
        <w:t xml:space="preserve">Two dotted lines define the range of SNPs and indels in the targeted peak regions, with solid lines on the heatmaps marking regions with high </w:t>
      </w:r>
      <w:r>
        <w:rPr>
          <w:rFonts w:ascii="Arial" w:hAnsi="Arial" w:cs="Arial"/>
          <w:i/>
          <w:iCs/>
          <w:color w:val="000000"/>
          <w:kern w:val="24"/>
        </w:rPr>
        <w:t>r</w:t>
      </w:r>
      <w:r>
        <w:rPr>
          <w:rFonts w:ascii="Arial" w:hAnsi="Arial" w:cs="Arial"/>
          <w:i/>
          <w:iCs/>
          <w:color w:val="000000"/>
          <w:kern w:val="24"/>
          <w:position w:val="7"/>
          <w:vertAlign w:val="superscript"/>
        </w:rPr>
        <w:t>2</w:t>
      </w:r>
      <w:r>
        <w:rPr>
          <w:rFonts w:ascii="Arial" w:hAnsi="Arial" w:cs="Arial"/>
          <w:color w:val="000000"/>
          <w:kern w:val="24"/>
        </w:rPr>
        <w:t xml:space="preserve"> value.</w:t>
      </w:r>
      <w:r w:rsidRPr="00877EDA">
        <w:t xml:space="preserve"> </w:t>
      </w:r>
      <w:r w:rsidRPr="00877EDA">
        <w:rPr>
          <w:rFonts w:ascii="Arial" w:hAnsi="Arial" w:cs="Arial"/>
          <w:color w:val="000000"/>
          <w:kern w:val="24"/>
        </w:rPr>
        <w:t xml:space="preserve">The range of chromosome positions for the LD regions is detailed in </w:t>
      </w:r>
      <w:r w:rsidRPr="00FE3830">
        <w:rPr>
          <w:rFonts w:ascii="Arial" w:hAnsi="Arial" w:cs="Arial"/>
          <w:color w:val="000000"/>
          <w:kern w:val="24"/>
        </w:rPr>
        <w:t>Supplementary Table</w:t>
      </w:r>
      <w:r>
        <w:rPr>
          <w:rFonts w:ascii="Arial" w:eastAsia="Yu Mincho" w:hAnsi="Arial" w:cs="Arial" w:hint="eastAsia"/>
          <w:color w:val="000000"/>
          <w:kern w:val="24"/>
          <w:lang w:eastAsia="ja-JP"/>
        </w:rPr>
        <w:t xml:space="preserve"> 4.</w:t>
      </w:r>
    </w:p>
    <w:p w14:paraId="32FB6E51" w14:textId="64464767" w:rsidR="00570F3C" w:rsidRPr="00A46D60" w:rsidRDefault="00570F3C" w:rsidP="00A46D60">
      <w:pPr>
        <w:spacing w:line="240" w:lineRule="auto"/>
        <w:contextualSpacing/>
      </w:pPr>
    </w:p>
    <w:p w14:paraId="52A62276" w14:textId="22B0A6FB" w:rsidR="003B7977" w:rsidRPr="00FD4E70" w:rsidRDefault="003B7977" w:rsidP="00A96081">
      <w:pPr>
        <w:widowControl/>
      </w:pPr>
    </w:p>
    <w:sectPr w:rsidR="003B7977" w:rsidRPr="00FD4E7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8C35D6" w14:textId="77777777" w:rsidR="00873397" w:rsidRDefault="00873397" w:rsidP="00823431">
      <w:pPr>
        <w:spacing w:after="0" w:line="240" w:lineRule="auto"/>
      </w:pPr>
      <w:r>
        <w:separator/>
      </w:r>
    </w:p>
  </w:endnote>
  <w:endnote w:type="continuationSeparator" w:id="0">
    <w:p w14:paraId="0180F45B" w14:textId="77777777" w:rsidR="00873397" w:rsidRDefault="00873397" w:rsidP="008234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4DC9B2" w14:textId="77777777" w:rsidR="00873397" w:rsidRDefault="00873397" w:rsidP="00823431">
      <w:pPr>
        <w:spacing w:after="0" w:line="240" w:lineRule="auto"/>
      </w:pPr>
      <w:r>
        <w:separator/>
      </w:r>
    </w:p>
  </w:footnote>
  <w:footnote w:type="continuationSeparator" w:id="0">
    <w:p w14:paraId="34533FFA" w14:textId="77777777" w:rsidR="00873397" w:rsidRDefault="00873397" w:rsidP="008234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EDC"/>
    <w:rsid w:val="00042705"/>
    <w:rsid w:val="00106FB6"/>
    <w:rsid w:val="00137D5F"/>
    <w:rsid w:val="00141409"/>
    <w:rsid w:val="00260DB0"/>
    <w:rsid w:val="002663F2"/>
    <w:rsid w:val="00290762"/>
    <w:rsid w:val="00323917"/>
    <w:rsid w:val="003A30C0"/>
    <w:rsid w:val="003B7977"/>
    <w:rsid w:val="00430B32"/>
    <w:rsid w:val="00462319"/>
    <w:rsid w:val="00487F72"/>
    <w:rsid w:val="00570F3C"/>
    <w:rsid w:val="00581318"/>
    <w:rsid w:val="005C12BF"/>
    <w:rsid w:val="006305C2"/>
    <w:rsid w:val="006C119B"/>
    <w:rsid w:val="007E09A6"/>
    <w:rsid w:val="007E0AFC"/>
    <w:rsid w:val="00823431"/>
    <w:rsid w:val="00873397"/>
    <w:rsid w:val="00882F8C"/>
    <w:rsid w:val="00915CDE"/>
    <w:rsid w:val="009A098A"/>
    <w:rsid w:val="00A00687"/>
    <w:rsid w:val="00A44600"/>
    <w:rsid w:val="00A46D60"/>
    <w:rsid w:val="00A96081"/>
    <w:rsid w:val="00AA0A99"/>
    <w:rsid w:val="00AD7EDC"/>
    <w:rsid w:val="00CA145C"/>
    <w:rsid w:val="00CC37F0"/>
    <w:rsid w:val="00DA165E"/>
    <w:rsid w:val="00DE0597"/>
    <w:rsid w:val="00E37BD3"/>
    <w:rsid w:val="00ED514F"/>
    <w:rsid w:val="00F63A0C"/>
    <w:rsid w:val="00FB7963"/>
    <w:rsid w:val="00FD4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E6E846"/>
  <w15:chartTrackingRefBased/>
  <w15:docId w15:val="{AE325DCD-8865-420E-82B8-2D1D06F88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D7ED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7E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7EDC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7EDC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7E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D7EDC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D7EDC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D7EDC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D7EDC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D7ED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D7E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D7EDC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D7E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D7EDC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D7EDC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D7EDC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D7EDC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D7ED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D7ED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D7E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D7ED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D7ED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D7E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D7ED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D7ED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D7ED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D7E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D7ED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D7EDC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3A30C0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14:ligatures w14:val="none"/>
    </w:rPr>
  </w:style>
  <w:style w:type="character" w:styleId="ae">
    <w:name w:val="Hyperlink"/>
    <w:basedOn w:val="a0"/>
    <w:uiPriority w:val="99"/>
    <w:unhideWhenUsed/>
    <w:rsid w:val="00A00687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00687"/>
    <w:rPr>
      <w:color w:val="605E5C"/>
      <w:shd w:val="clear" w:color="auto" w:fill="E1DFDD"/>
    </w:rPr>
  </w:style>
  <w:style w:type="paragraph" w:styleId="af0">
    <w:name w:val="header"/>
    <w:basedOn w:val="a"/>
    <w:link w:val="af1"/>
    <w:uiPriority w:val="99"/>
    <w:unhideWhenUsed/>
    <w:rsid w:val="0082343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首 字元"/>
    <w:basedOn w:val="a0"/>
    <w:link w:val="af0"/>
    <w:uiPriority w:val="99"/>
    <w:rsid w:val="00823431"/>
    <w:rPr>
      <w:sz w:val="20"/>
      <w:szCs w:val="20"/>
    </w:rPr>
  </w:style>
  <w:style w:type="paragraph" w:styleId="af2">
    <w:name w:val="footer"/>
    <w:basedOn w:val="a"/>
    <w:link w:val="af3"/>
    <w:uiPriority w:val="99"/>
    <w:unhideWhenUsed/>
    <w:rsid w:val="0082343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3">
    <w:name w:val="頁尾 字元"/>
    <w:basedOn w:val="a0"/>
    <w:link w:val="af2"/>
    <w:uiPriority w:val="99"/>
    <w:rsid w:val="0082343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8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9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1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3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　莉晏</dc:creator>
  <cp:keywords/>
  <dc:description/>
  <cp:lastModifiedBy>林　莉晏</cp:lastModifiedBy>
  <cp:revision>5</cp:revision>
  <dcterms:created xsi:type="dcterms:W3CDTF">2024-09-11T01:50:00Z</dcterms:created>
  <dcterms:modified xsi:type="dcterms:W3CDTF">2024-10-04T14:19:00Z</dcterms:modified>
</cp:coreProperties>
</file>