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CCC47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</w:pPr>
    </w:p>
    <w:p w14:paraId="6C940DEC">
      <w:pPr>
        <w:keepNext w:val="0"/>
        <w:keepLines w:val="0"/>
        <w:widowControl/>
        <w:suppressLineNumbers w:val="0"/>
        <w:ind w:firstLine="1104" w:firstLineChars="500"/>
        <w:jc w:val="left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  <w:t>Table1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 Demographic characteristics of the healthy subjects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2430"/>
        <w:gridCol w:w="2208"/>
      </w:tblGrid>
      <w:tr w14:paraId="4F235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top w:val="single" w:color="auto" w:sz="4" w:space="0"/>
              <w:bottom w:val="single" w:color="auto" w:sz="4" w:space="0"/>
            </w:tcBorders>
          </w:tcPr>
          <w:p w14:paraId="3BA593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Variable</w:t>
            </w:r>
          </w:p>
        </w:tc>
        <w:tc>
          <w:tcPr>
            <w:tcW w:w="2430" w:type="dxa"/>
            <w:tcBorders>
              <w:top w:val="single" w:color="auto" w:sz="4" w:space="0"/>
              <w:bottom w:val="single" w:color="auto" w:sz="4" w:space="0"/>
            </w:tcBorders>
          </w:tcPr>
          <w:p w14:paraId="668E20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Fasting study (n=28)</w:t>
            </w:r>
          </w:p>
        </w:tc>
        <w:tc>
          <w:tcPr>
            <w:tcW w:w="2208" w:type="dxa"/>
            <w:tcBorders>
              <w:top w:val="single" w:color="auto" w:sz="4" w:space="0"/>
              <w:bottom w:val="single" w:color="auto" w:sz="4" w:space="0"/>
            </w:tcBorders>
          </w:tcPr>
          <w:p w14:paraId="3707443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Fed study (n=28)</w:t>
            </w:r>
          </w:p>
        </w:tc>
      </w:tr>
      <w:tr w14:paraId="5D2FC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57" w:type="dxa"/>
            <w:gridSpan w:val="3"/>
            <w:tcBorders>
              <w:top w:val="single" w:color="auto" w:sz="4" w:space="0"/>
            </w:tcBorders>
          </w:tcPr>
          <w:p w14:paraId="7A9F306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Sex</w:t>
            </w:r>
          </w:p>
        </w:tc>
      </w:tr>
      <w:tr w14:paraId="69B49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 w14:paraId="44E6B14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Male (%)</w:t>
            </w:r>
          </w:p>
          <w:p w14:paraId="383FCE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Female (%)</w:t>
            </w:r>
          </w:p>
        </w:tc>
        <w:tc>
          <w:tcPr>
            <w:tcW w:w="2430" w:type="dxa"/>
          </w:tcPr>
          <w:p w14:paraId="2D67284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22 (78.57%)</w:t>
            </w:r>
          </w:p>
          <w:p w14:paraId="4C483C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6 (21.43%)</w:t>
            </w:r>
          </w:p>
        </w:tc>
        <w:tc>
          <w:tcPr>
            <w:tcW w:w="2208" w:type="dxa"/>
          </w:tcPr>
          <w:p w14:paraId="6E42CC1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21 (75%)</w:t>
            </w:r>
          </w:p>
          <w:p w14:paraId="5AD74A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7 (25%)</w:t>
            </w:r>
          </w:p>
        </w:tc>
      </w:tr>
      <w:tr w14:paraId="6F15D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57" w:type="dxa"/>
            <w:gridSpan w:val="3"/>
            <w:vAlign w:val="top"/>
          </w:tcPr>
          <w:p w14:paraId="5AE8C46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Age, years</w:t>
            </w:r>
          </w:p>
        </w:tc>
      </w:tr>
      <w:tr w14:paraId="50AE7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 w14:paraId="773561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Mean (SD)</w:t>
            </w:r>
          </w:p>
          <w:p w14:paraId="699B76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Min-max</w:t>
            </w:r>
          </w:p>
        </w:tc>
        <w:tc>
          <w:tcPr>
            <w:tcW w:w="2430" w:type="dxa"/>
          </w:tcPr>
          <w:p w14:paraId="0FF4B2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29.4 (6.39)</w:t>
            </w:r>
          </w:p>
          <w:p w14:paraId="4EACBF5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18-40</w:t>
            </w:r>
          </w:p>
        </w:tc>
        <w:tc>
          <w:tcPr>
            <w:tcW w:w="2208" w:type="dxa"/>
          </w:tcPr>
          <w:p w14:paraId="18A9592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27.6 (4.45)</w:t>
            </w:r>
          </w:p>
          <w:p w14:paraId="741A344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18-40</w:t>
            </w:r>
          </w:p>
        </w:tc>
      </w:tr>
      <w:tr w14:paraId="07F20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57" w:type="dxa"/>
            <w:gridSpan w:val="3"/>
            <w:vAlign w:val="top"/>
          </w:tcPr>
          <w:p w14:paraId="661E94B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Height, cm</w:t>
            </w:r>
          </w:p>
        </w:tc>
      </w:tr>
      <w:tr w14:paraId="1B761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</w:tcPr>
          <w:p w14:paraId="0EFCBD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bookmarkStart w:id="0" w:name="OLE_LINK5"/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Mean (SD)</w:t>
            </w:r>
          </w:p>
          <w:p w14:paraId="1F746E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Min-max</w:t>
            </w:r>
            <w:bookmarkEnd w:id="0"/>
          </w:p>
        </w:tc>
        <w:tc>
          <w:tcPr>
            <w:tcW w:w="2430" w:type="dxa"/>
          </w:tcPr>
          <w:p w14:paraId="2FD8DEF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168.68 (7.62)</w:t>
            </w:r>
          </w:p>
          <w:p w14:paraId="2072F9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152.5-180.5</w:t>
            </w:r>
          </w:p>
        </w:tc>
        <w:tc>
          <w:tcPr>
            <w:tcW w:w="2208" w:type="dxa"/>
            <w:vAlign w:val="center"/>
          </w:tcPr>
          <w:p w14:paraId="57BAEB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168.43 (8.09)</w:t>
            </w:r>
          </w:p>
          <w:p w14:paraId="4B9CE1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152.0-182.0</w:t>
            </w:r>
          </w:p>
        </w:tc>
      </w:tr>
      <w:tr w14:paraId="55222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57" w:type="dxa"/>
            <w:gridSpan w:val="3"/>
            <w:vAlign w:val="top"/>
          </w:tcPr>
          <w:p w14:paraId="22E22D9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Weight, kg</w:t>
            </w:r>
          </w:p>
        </w:tc>
      </w:tr>
      <w:tr w14:paraId="45F83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9" w:type="dxa"/>
          </w:tcPr>
          <w:p w14:paraId="260C43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bookmarkStart w:id="1" w:name="OLE_LINK6"/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Mean (SD)</w:t>
            </w:r>
          </w:p>
          <w:p w14:paraId="7CA0A99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Min-max</w:t>
            </w:r>
            <w:bookmarkEnd w:id="1"/>
          </w:p>
        </w:tc>
        <w:tc>
          <w:tcPr>
            <w:tcW w:w="2430" w:type="dxa"/>
          </w:tcPr>
          <w:p w14:paraId="3BE8A17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64.35 (7.12)</w:t>
            </w:r>
          </w:p>
          <w:p w14:paraId="5D5D871E">
            <w:pPr>
              <w:pStyle w:val="3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32"/>
                <w:lang w:val="en-US" w:eastAsia="zh-CN"/>
              </w:rPr>
              <w:t>52.7-80.2</w:t>
            </w:r>
          </w:p>
        </w:tc>
        <w:tc>
          <w:tcPr>
            <w:tcW w:w="2208" w:type="dxa"/>
          </w:tcPr>
          <w:p w14:paraId="1D4D995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64.83 (7.04)</w:t>
            </w:r>
          </w:p>
          <w:p w14:paraId="79E2ACA2">
            <w:pPr>
              <w:pStyle w:val="3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55.6-80.4</w:t>
            </w:r>
          </w:p>
        </w:tc>
      </w:tr>
      <w:tr w14:paraId="6FA7B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57" w:type="dxa"/>
            <w:gridSpan w:val="3"/>
            <w:vAlign w:val="top"/>
          </w:tcPr>
          <w:p w14:paraId="1941987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BMI, kg/m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vertAlign w:val="superscript"/>
                <w:lang w:val="en-US" w:eastAsia="zh-CN"/>
              </w:rPr>
              <w:t>2</w:t>
            </w:r>
          </w:p>
        </w:tc>
      </w:tr>
      <w:tr w14:paraId="3C78D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9" w:type="dxa"/>
            <w:tcBorders>
              <w:bottom w:val="single" w:color="auto" w:sz="4" w:space="0"/>
            </w:tcBorders>
          </w:tcPr>
          <w:p w14:paraId="1DF66B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Mean (SD)</w:t>
            </w:r>
          </w:p>
          <w:p w14:paraId="0996008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Min-max</w:t>
            </w:r>
          </w:p>
        </w:tc>
        <w:tc>
          <w:tcPr>
            <w:tcW w:w="2430" w:type="dxa"/>
            <w:tcBorders>
              <w:bottom w:val="single" w:color="auto" w:sz="4" w:space="0"/>
            </w:tcBorders>
          </w:tcPr>
          <w:p w14:paraId="637BD2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22.58 (1.4)</w:t>
            </w:r>
          </w:p>
          <w:p w14:paraId="6C77B657">
            <w:pPr>
              <w:pStyle w:val="3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19.5-24.6</w:t>
            </w:r>
          </w:p>
        </w:tc>
        <w:tc>
          <w:tcPr>
            <w:tcW w:w="2208" w:type="dxa"/>
            <w:tcBorders>
              <w:bottom w:val="single" w:color="auto" w:sz="4" w:space="0"/>
            </w:tcBorders>
          </w:tcPr>
          <w:p w14:paraId="2491C5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22.86 (2.0)</w:t>
            </w:r>
          </w:p>
          <w:p w14:paraId="23DD8361">
            <w:pPr>
              <w:pStyle w:val="3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32"/>
                <w:lang w:val="en-US" w:eastAsia="zh-CN"/>
              </w:rPr>
              <w:t>19.5-24.6</w:t>
            </w:r>
          </w:p>
        </w:tc>
      </w:tr>
    </w:tbl>
    <w:p w14:paraId="2D4DA1E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Notes:</w:t>
      </w:r>
      <w:r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BMI, body mass index; SD, standard deviation; max, maximum; min, minimum.</w:t>
      </w:r>
    </w:p>
    <w:p w14:paraId="78637A67"/>
    <w:p w14:paraId="254233F8"/>
    <w:p w14:paraId="42ADC25F"/>
    <w:p w14:paraId="6DA9D8CE"/>
    <w:p w14:paraId="15DE85B9"/>
    <w:p w14:paraId="2C2FA2CB"/>
    <w:p w14:paraId="1A69FBA8"/>
    <w:p w14:paraId="12A53F3C"/>
    <w:p w14:paraId="598AF227"/>
    <w:p w14:paraId="6DA306B4"/>
    <w:p w14:paraId="1D1A2EBA"/>
    <w:p w14:paraId="50425D5F"/>
    <w:p w14:paraId="4AA2157E"/>
    <w:p w14:paraId="07A16D41"/>
    <w:p w14:paraId="1270ADE1"/>
    <w:p w14:paraId="7479C924"/>
    <w:p w14:paraId="351D1C8D"/>
    <w:p w14:paraId="03655193"/>
    <w:p w14:paraId="709ADF8E"/>
    <w:p w14:paraId="6D702B1C"/>
    <w:p w14:paraId="206321D5"/>
    <w:p w14:paraId="7FFBA45F"/>
    <w:p w14:paraId="729763BA"/>
    <w:p w14:paraId="6F109B71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7D7002D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  <w:t>Table 2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 Pharmacokinetic parameters of piracetam after a single dose 800 mg of test and reference piracetam tablet in healthy Chinese subjects under fasting and fed conditions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6"/>
        <w:gridCol w:w="2830"/>
        <w:gridCol w:w="2899"/>
        <w:gridCol w:w="2501"/>
        <w:gridCol w:w="2712"/>
      </w:tblGrid>
      <w:tr w14:paraId="4B37B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2" w:hRule="atLeast"/>
        </w:trPr>
        <w:tc>
          <w:tcPr>
            <w:tcW w:w="2876" w:type="dxa"/>
            <w:vMerge w:val="restart"/>
            <w:tcBorders>
              <w:top w:val="nil"/>
              <w:bottom w:val="single" w:color="auto" w:sz="4" w:space="0"/>
            </w:tcBorders>
            <w:vAlign w:val="center"/>
          </w:tcPr>
          <w:p w14:paraId="501E678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Pharmacokinetic parameters</w:t>
            </w:r>
          </w:p>
        </w:tc>
        <w:tc>
          <w:tcPr>
            <w:tcW w:w="5729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 w14:paraId="58840E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Fasting condition (N=28)</w:t>
            </w:r>
          </w:p>
        </w:tc>
        <w:tc>
          <w:tcPr>
            <w:tcW w:w="5213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 w14:paraId="1963DF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Fed condition (N=28)</w:t>
            </w:r>
          </w:p>
        </w:tc>
      </w:tr>
      <w:tr w14:paraId="4DEFC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76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8C99F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bookmarkStart w:id="2" w:name="OLE_LINK7" w:colFirst="1" w:colLast="2"/>
          </w:p>
        </w:tc>
        <w:tc>
          <w:tcPr>
            <w:tcW w:w="28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A562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Test (n=28)</w:t>
            </w:r>
          </w:p>
        </w:tc>
        <w:tc>
          <w:tcPr>
            <w:tcW w:w="28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82C0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Reference (n=28)</w:t>
            </w:r>
          </w:p>
        </w:tc>
        <w:tc>
          <w:tcPr>
            <w:tcW w:w="25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FDB27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Test (n=28)</w:t>
            </w:r>
          </w:p>
        </w:tc>
        <w:tc>
          <w:tcPr>
            <w:tcW w:w="27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84E8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Reference(n=28)</w:t>
            </w:r>
          </w:p>
        </w:tc>
      </w:tr>
      <w:bookmarkEnd w:id="2"/>
      <w:tr w14:paraId="70CDD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7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C0167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subscript"/>
                <w:lang w:val="en-US" w:eastAsia="zh-CN"/>
              </w:rPr>
              <w:t>max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 (h)</w:t>
            </w:r>
          </w:p>
        </w:tc>
        <w:tc>
          <w:tcPr>
            <w:tcW w:w="283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BE8586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color w:val="000000"/>
              </w:rPr>
              <w:t>0.5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Theme="minorEastAsia"/>
                <w:color w:val="000000"/>
                <w:lang w:val="zh-CN"/>
              </w:rPr>
              <w:t>(</w:t>
            </w:r>
            <w:r>
              <w:rPr>
                <w:rFonts w:hint="eastAsia" w:ascii="Times New Roman" w:hAnsi="Times New Roman" w:eastAsiaTheme="minorEastAsia"/>
                <w:color w:val="000000"/>
              </w:rPr>
              <w:t>0.3</w:t>
            </w:r>
            <w:r>
              <w:rPr>
                <w:rFonts w:ascii="Times New Roman" w:hAnsi="Times New Roman" w:eastAsiaTheme="minorEastAsia"/>
                <w:color w:val="000000"/>
                <w:lang w:val="zh-CN"/>
              </w:rPr>
              <w:t>,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color w:val="000000"/>
              </w:rPr>
              <w:t>1.3</w:t>
            </w:r>
            <w:r>
              <w:rPr>
                <w:rFonts w:ascii="Times New Roman" w:hAnsi="Times New Roman" w:eastAsiaTheme="minorEastAsia"/>
                <w:color w:val="000000"/>
                <w:lang w:val="zh-CN"/>
              </w:rPr>
              <w:t>)</w:t>
            </w:r>
          </w:p>
        </w:tc>
        <w:tc>
          <w:tcPr>
            <w:tcW w:w="289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7B18A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color w:val="000000"/>
              </w:rPr>
              <w:t>0.5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Theme="minorEastAsia"/>
                <w:color w:val="000000"/>
                <w:lang w:val="zh-CN"/>
              </w:rPr>
              <w:t>(</w:t>
            </w:r>
            <w:r>
              <w:rPr>
                <w:rFonts w:hint="eastAsia" w:ascii="Times New Roman" w:hAnsi="Times New Roman" w:eastAsiaTheme="minorEastAsia"/>
                <w:color w:val="000000"/>
              </w:rPr>
              <w:t>0.3</w:t>
            </w:r>
            <w:r>
              <w:rPr>
                <w:rFonts w:ascii="Times New Roman" w:hAnsi="Times New Roman" w:eastAsiaTheme="minorEastAsia"/>
                <w:color w:val="000000"/>
                <w:lang w:val="zh-CN"/>
              </w:rPr>
              <w:t>,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inorEastAsia"/>
                <w:color w:val="000000"/>
              </w:rPr>
              <w:t>1.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7</w:t>
            </w:r>
            <w:r>
              <w:rPr>
                <w:rFonts w:ascii="Times New Roman" w:hAnsi="Times New Roman" w:eastAsiaTheme="minorEastAsia"/>
                <w:color w:val="000000"/>
                <w:lang w:val="zh-CN"/>
              </w:rPr>
              <w:t>)</w:t>
            </w:r>
          </w:p>
        </w:tc>
        <w:tc>
          <w:tcPr>
            <w:tcW w:w="250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70090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7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(0.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,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6)</w:t>
            </w:r>
          </w:p>
        </w:tc>
        <w:tc>
          <w:tcPr>
            <w:tcW w:w="271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C2D03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7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(0.5,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6)</w:t>
            </w:r>
          </w:p>
        </w:tc>
      </w:tr>
      <w:tr w14:paraId="77B6B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76" w:type="dxa"/>
            <w:shd w:val="clear" w:color="auto" w:fill="auto"/>
            <w:vAlign w:val="center"/>
          </w:tcPr>
          <w:p w14:paraId="78AEE1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subscript"/>
                <w:lang w:val="en-US" w:eastAsia="zh-CN"/>
              </w:rPr>
              <w:t>max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 (ng/ml)</w:t>
            </w:r>
          </w:p>
        </w:tc>
        <w:tc>
          <w:tcPr>
            <w:tcW w:w="2830" w:type="dxa"/>
            <w:vAlign w:val="center"/>
          </w:tcPr>
          <w:p w14:paraId="4B21B0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000000"/>
                <w:lang w:val="zh-CN"/>
              </w:rPr>
              <w:t>31678.6</w:t>
            </w:r>
            <w:r>
              <w:rPr>
                <w:rFonts w:ascii="Times New Roman" w:hAnsi="Times New Roman" w:eastAsiaTheme="minorEastAsia"/>
                <w:color w:val="000000"/>
                <w:lang w:val="zh-CN"/>
              </w:rPr>
              <w:t>±</w:t>
            </w:r>
            <w:r>
              <w:rPr>
                <w:rFonts w:hint="eastAsia" w:ascii="Times New Roman" w:hAnsi="Times New Roman" w:eastAsiaTheme="minorEastAsia"/>
                <w:color w:val="000000"/>
                <w:lang w:val="zh-CN"/>
              </w:rPr>
              <w:t>7209.7</w:t>
            </w:r>
          </w:p>
        </w:tc>
        <w:tc>
          <w:tcPr>
            <w:tcW w:w="2899" w:type="dxa"/>
            <w:vAlign w:val="center"/>
          </w:tcPr>
          <w:p w14:paraId="71B0CF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000000"/>
              </w:rPr>
              <w:t>32117.9</w:t>
            </w:r>
            <w:r>
              <w:rPr>
                <w:rFonts w:ascii="Times New Roman" w:hAnsi="Times New Roman" w:eastAsiaTheme="minorEastAsia"/>
                <w:color w:val="000000"/>
                <w:lang w:val="zh-CN"/>
              </w:rPr>
              <w:t>±</w:t>
            </w:r>
            <w:r>
              <w:rPr>
                <w:rFonts w:hint="eastAsia" w:ascii="Times New Roman" w:hAnsi="Times New Roman" w:eastAsiaTheme="minorEastAsia"/>
                <w:color w:val="000000"/>
              </w:rPr>
              <w:t>7465.</w:t>
            </w:r>
          </w:p>
        </w:tc>
        <w:tc>
          <w:tcPr>
            <w:tcW w:w="2501" w:type="dxa"/>
            <w:vAlign w:val="center"/>
          </w:tcPr>
          <w:p w14:paraId="37D1CCE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20442.9±3643.2</w:t>
            </w:r>
          </w:p>
        </w:tc>
        <w:tc>
          <w:tcPr>
            <w:tcW w:w="2712" w:type="dxa"/>
            <w:vAlign w:val="center"/>
          </w:tcPr>
          <w:p w14:paraId="6AFC06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20775.0±4810.9</w:t>
            </w:r>
          </w:p>
        </w:tc>
      </w:tr>
      <w:tr w14:paraId="13A2E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76" w:type="dxa"/>
            <w:shd w:val="clear" w:color="auto" w:fill="auto"/>
            <w:vAlign w:val="center"/>
          </w:tcPr>
          <w:p w14:paraId="75B6F4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AUC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subscript"/>
                <w:lang w:val="en-US" w:eastAsia="zh-CN"/>
              </w:rPr>
              <w:t>0-t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 (ng.h/ml)</w:t>
            </w:r>
          </w:p>
        </w:tc>
        <w:tc>
          <w:tcPr>
            <w:tcW w:w="2830" w:type="dxa"/>
            <w:vAlign w:val="center"/>
          </w:tcPr>
          <w:p w14:paraId="0A359E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000000"/>
                <w:lang w:val="zh-CN"/>
              </w:rPr>
              <w:t>151444.6</w:t>
            </w:r>
            <w:r>
              <w:rPr>
                <w:rFonts w:ascii="Times New Roman" w:hAnsi="Times New Roman" w:eastAsiaTheme="minorEastAsia"/>
                <w:color w:val="000000"/>
                <w:lang w:val="zh-CN"/>
              </w:rPr>
              <w:t>±</w:t>
            </w:r>
            <w:r>
              <w:rPr>
                <w:rFonts w:hint="eastAsia" w:ascii="Times New Roman" w:hAnsi="Times New Roman" w:eastAsiaTheme="minorEastAsia"/>
                <w:color w:val="000000"/>
                <w:lang w:val="zh-CN"/>
              </w:rPr>
              <w:t>16249.4</w:t>
            </w:r>
          </w:p>
        </w:tc>
        <w:tc>
          <w:tcPr>
            <w:tcW w:w="2899" w:type="dxa"/>
            <w:vAlign w:val="center"/>
          </w:tcPr>
          <w:p w14:paraId="19D4775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000000"/>
              </w:rPr>
              <w:t>154123</w:t>
            </w:r>
            <w:r>
              <w:rPr>
                <w:rFonts w:hint="eastAsia" w:ascii="Times New Roman" w:hAnsi="Times New Roman" w:eastAsiaTheme="minorEastAsia"/>
                <w:color w:val="000000"/>
                <w:lang w:val="zh-CN"/>
              </w:rPr>
              <w:t>.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1</w:t>
            </w:r>
            <w:r>
              <w:rPr>
                <w:rFonts w:ascii="Times New Roman" w:hAnsi="Times New Roman" w:eastAsiaTheme="minorEastAsia"/>
                <w:color w:val="000000"/>
                <w:lang w:val="zh-CN"/>
              </w:rPr>
              <w:t>±</w:t>
            </w:r>
            <w:r>
              <w:rPr>
                <w:rFonts w:hint="eastAsia" w:ascii="Times New Roman" w:hAnsi="Times New Roman" w:eastAsiaTheme="minorEastAsia"/>
                <w:color w:val="000000"/>
                <w:lang w:val="zh-CN"/>
              </w:rPr>
              <w:t>1</w:t>
            </w:r>
            <w:r>
              <w:rPr>
                <w:rFonts w:hint="eastAsia" w:ascii="Times New Roman" w:hAnsi="Times New Roman" w:eastAsiaTheme="minorEastAsia"/>
                <w:color w:val="000000"/>
              </w:rPr>
              <w:t>8472</w:t>
            </w:r>
            <w:r>
              <w:rPr>
                <w:rFonts w:hint="eastAsia" w:ascii="Times New Roman" w:hAnsi="Times New Roman" w:eastAsiaTheme="minorEastAsia"/>
                <w:color w:val="000000"/>
                <w:lang w:val="zh-CN"/>
              </w:rPr>
              <w:t>.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7</w:t>
            </w:r>
          </w:p>
        </w:tc>
        <w:tc>
          <w:tcPr>
            <w:tcW w:w="2501" w:type="dxa"/>
            <w:vAlign w:val="center"/>
          </w:tcPr>
          <w:p w14:paraId="0174C05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140505.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±15972.5</w:t>
            </w:r>
          </w:p>
        </w:tc>
        <w:tc>
          <w:tcPr>
            <w:tcW w:w="2712" w:type="dxa"/>
            <w:vAlign w:val="center"/>
          </w:tcPr>
          <w:p w14:paraId="3C7664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141755.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±15066.1</w:t>
            </w:r>
          </w:p>
        </w:tc>
      </w:tr>
      <w:tr w14:paraId="49B5B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76" w:type="dxa"/>
            <w:vAlign w:val="center"/>
          </w:tcPr>
          <w:p w14:paraId="0D9A38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AUC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subscript"/>
                <w:lang w:val="en-US" w:eastAsia="zh-CN"/>
              </w:rPr>
              <w:t>0-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subscript"/>
                <w:lang w:val="en-US" w:eastAsia="zh-CN"/>
              </w:rPr>
              <w:t>∞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 (ng.h/ml)</w:t>
            </w:r>
          </w:p>
        </w:tc>
        <w:tc>
          <w:tcPr>
            <w:tcW w:w="2830" w:type="dxa"/>
            <w:vAlign w:val="center"/>
          </w:tcPr>
          <w:p w14:paraId="60E206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000000"/>
              </w:rPr>
              <w:t>159790.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6</w:t>
            </w:r>
            <w:r>
              <w:rPr>
                <w:rFonts w:ascii="Times New Roman" w:hAnsi="Times New Roman" w:eastAsiaTheme="minorEastAsia"/>
                <w:color w:val="000000"/>
              </w:rPr>
              <w:t>±</w:t>
            </w:r>
            <w:r>
              <w:rPr>
                <w:rFonts w:hint="eastAsia" w:ascii="Times New Roman" w:hAnsi="Times New Roman" w:eastAsiaTheme="minorEastAsia"/>
                <w:color w:val="000000"/>
              </w:rPr>
              <w:t>16653.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3</w:t>
            </w:r>
          </w:p>
        </w:tc>
        <w:tc>
          <w:tcPr>
            <w:tcW w:w="2899" w:type="dxa"/>
            <w:vAlign w:val="center"/>
          </w:tcPr>
          <w:p w14:paraId="447FAD3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000000"/>
              </w:rPr>
              <w:t>162479.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2</w:t>
            </w:r>
            <w:r>
              <w:rPr>
                <w:rFonts w:ascii="Times New Roman" w:hAnsi="Times New Roman" w:eastAsiaTheme="minorEastAsia"/>
                <w:color w:val="000000"/>
              </w:rPr>
              <w:t>±</w:t>
            </w:r>
            <w:r>
              <w:rPr>
                <w:rFonts w:hint="eastAsia" w:ascii="Times New Roman" w:hAnsi="Times New Roman" w:eastAsiaTheme="minorEastAsia"/>
                <w:color w:val="000000"/>
              </w:rPr>
              <w:t>19130.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9</w:t>
            </w:r>
          </w:p>
        </w:tc>
        <w:tc>
          <w:tcPr>
            <w:tcW w:w="2501" w:type="dxa"/>
            <w:vAlign w:val="center"/>
          </w:tcPr>
          <w:p w14:paraId="5F2CA0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149739.0±19752.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712" w:type="dxa"/>
            <w:vAlign w:val="center"/>
          </w:tcPr>
          <w:p w14:paraId="257689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150995.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±18173.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39076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2876" w:type="dxa"/>
            <w:vAlign w:val="center"/>
          </w:tcPr>
          <w:p w14:paraId="4AE43C8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subscript"/>
                <w:lang w:val="en-US" w:eastAsia="zh-CN"/>
              </w:rPr>
              <w:t>1/2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 (h)</w:t>
            </w:r>
          </w:p>
        </w:tc>
        <w:tc>
          <w:tcPr>
            <w:tcW w:w="2830" w:type="dxa"/>
            <w:vAlign w:val="center"/>
          </w:tcPr>
          <w:p w14:paraId="5604F2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000000"/>
              </w:rPr>
              <w:t>5.8</w:t>
            </w:r>
            <w:r>
              <w:rPr>
                <w:rFonts w:ascii="Times New Roman" w:hAnsi="Times New Roman" w:eastAsiaTheme="minorEastAsia"/>
                <w:color w:val="000000"/>
              </w:rPr>
              <w:t>±</w:t>
            </w:r>
            <w:r>
              <w:rPr>
                <w:rFonts w:hint="eastAsia" w:ascii="Times New Roman" w:hAnsi="Times New Roman" w:eastAsiaTheme="minorEastAsia"/>
                <w:color w:val="000000"/>
              </w:rPr>
              <w:t>0.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7</w:t>
            </w:r>
          </w:p>
        </w:tc>
        <w:tc>
          <w:tcPr>
            <w:tcW w:w="2899" w:type="dxa"/>
            <w:vAlign w:val="center"/>
          </w:tcPr>
          <w:p w14:paraId="199947E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000000"/>
              </w:rPr>
              <w:t>5.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8</w:t>
            </w:r>
            <w:r>
              <w:rPr>
                <w:rFonts w:ascii="Times New Roman" w:hAnsi="Times New Roman" w:eastAsiaTheme="minorEastAsia"/>
                <w:color w:val="000000"/>
              </w:rPr>
              <w:t>±</w:t>
            </w:r>
            <w:r>
              <w:rPr>
                <w:rFonts w:hint="eastAsia" w:ascii="Times New Roman" w:hAnsi="Times New Roman" w:eastAsiaTheme="minorEastAsia"/>
                <w:color w:val="000000"/>
              </w:rPr>
              <w:t>0.6</w:t>
            </w:r>
          </w:p>
        </w:tc>
        <w:tc>
          <w:tcPr>
            <w:tcW w:w="2501" w:type="dxa"/>
            <w:vAlign w:val="center"/>
          </w:tcPr>
          <w:p w14:paraId="49E954D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cs="Times New Roman" w:eastAsiaTheme="minor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5.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±1.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712" w:type="dxa"/>
            <w:vAlign w:val="center"/>
          </w:tcPr>
          <w:p w14:paraId="550B50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5.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±1.0</w:t>
            </w:r>
          </w:p>
        </w:tc>
      </w:tr>
      <w:tr w14:paraId="5CC59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876" w:type="dxa"/>
            <w:tcBorders>
              <w:bottom w:val="single" w:color="auto" w:sz="4" w:space="0"/>
            </w:tcBorders>
            <w:vAlign w:val="center"/>
          </w:tcPr>
          <w:p w14:paraId="5F197E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ℷ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z (h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superscript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2830" w:type="dxa"/>
            <w:tcBorders>
              <w:bottom w:val="single" w:color="auto" w:sz="4" w:space="0"/>
            </w:tcBorders>
            <w:vAlign w:val="center"/>
          </w:tcPr>
          <w:p w14:paraId="22A53E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000000"/>
              </w:rPr>
              <w:t>0.1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2</w:t>
            </w:r>
            <w:r>
              <w:rPr>
                <w:rFonts w:ascii="Times New Roman" w:hAnsi="Times New Roman" w:eastAsiaTheme="minorEastAsia"/>
                <w:color w:val="000000"/>
              </w:rPr>
              <w:t>±</w:t>
            </w:r>
            <w:r>
              <w:rPr>
                <w:rFonts w:hint="eastAsia" w:ascii="Times New Roman" w:hAnsi="Times New Roman" w:eastAsiaTheme="minorEastAsia"/>
                <w:color w:val="000000"/>
              </w:rPr>
              <w:t>0.01</w:t>
            </w:r>
          </w:p>
        </w:tc>
        <w:tc>
          <w:tcPr>
            <w:tcW w:w="2899" w:type="dxa"/>
            <w:tcBorders>
              <w:bottom w:val="single" w:color="auto" w:sz="4" w:space="0"/>
            </w:tcBorders>
            <w:vAlign w:val="center"/>
          </w:tcPr>
          <w:p w14:paraId="54D2E3A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000000"/>
              </w:rPr>
              <w:t>0.12</w:t>
            </w:r>
            <w:r>
              <w:rPr>
                <w:rFonts w:ascii="Times New Roman" w:hAnsi="Times New Roman" w:eastAsiaTheme="minorEastAsia"/>
                <w:color w:val="000000"/>
              </w:rPr>
              <w:t>±</w:t>
            </w:r>
            <w:r>
              <w:rPr>
                <w:rFonts w:hint="eastAsia" w:ascii="Times New Roman" w:hAnsi="Times New Roman" w:eastAsiaTheme="minorEastAsia"/>
                <w:color w:val="000000"/>
              </w:rPr>
              <w:t>0.01</w:t>
            </w:r>
          </w:p>
        </w:tc>
        <w:tc>
          <w:tcPr>
            <w:tcW w:w="2501" w:type="dxa"/>
            <w:tcBorders>
              <w:bottom w:val="single" w:color="auto" w:sz="4" w:space="0"/>
            </w:tcBorders>
            <w:vAlign w:val="center"/>
          </w:tcPr>
          <w:p w14:paraId="0B158D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0.12±0.02</w:t>
            </w:r>
          </w:p>
        </w:tc>
        <w:tc>
          <w:tcPr>
            <w:tcW w:w="2712" w:type="dxa"/>
            <w:tcBorders>
              <w:bottom w:val="single" w:color="auto" w:sz="4" w:space="0"/>
            </w:tcBorders>
            <w:vAlign w:val="center"/>
          </w:tcPr>
          <w:p w14:paraId="7E15F2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0.12±0.02</w:t>
            </w:r>
          </w:p>
        </w:tc>
      </w:tr>
    </w:tbl>
    <w:p w14:paraId="714FC4E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Notes: 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T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vertAlign w:val="subscript"/>
          <w:lang w:val="en-US" w:eastAsia="zh-CN" w:bidi="ar"/>
        </w:rPr>
        <w:t>max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, time to reach Cmax;</w:t>
      </w:r>
      <w:r>
        <w:rPr>
          <w:rFonts w:hint="eastAsia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C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vertAlign w:val="subscript"/>
          <w:lang w:val="en-US" w:eastAsia="zh-CN" w:bidi="ar"/>
        </w:rPr>
        <w:t>max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, maximum plasma drug concentration; AUC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vertAlign w:val="subscript"/>
          <w:lang w:val="en-US" w:eastAsia="zh-CN" w:bidi="ar"/>
        </w:rPr>
        <w:t>0-t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, area under the plasma concentration</w:t>
      </w:r>
      <w:r>
        <w:rPr>
          <w:rFonts w:hint="default" w:ascii="Times New Roman" w:hAnsi="Times New Roman" w:eastAsia="AdvOT1ef757c0 + 20" w:cs="Times New Roman"/>
          <w:color w:val="272727"/>
          <w:kern w:val="0"/>
          <w:sz w:val="22"/>
          <w:szCs w:val="22"/>
          <w:lang w:val="en-US" w:eastAsia="zh-CN" w:bidi="ar"/>
        </w:rPr>
        <w:t>–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time curve from time 0 to the time of the last measurable concentration; AUC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vertAlign w:val="subscript"/>
          <w:lang w:val="en-US" w:eastAsia="zh-CN" w:bidi="ar"/>
        </w:rPr>
        <w:t>0-</w:t>
      </w:r>
      <w:r>
        <w:rPr>
          <w:rFonts w:hint="default" w:ascii="Times New Roman" w:hAnsi="Times New Roman" w:eastAsia="AdvminionSymbols" w:cs="Times New Roman"/>
          <w:color w:val="272727"/>
          <w:kern w:val="0"/>
          <w:sz w:val="22"/>
          <w:szCs w:val="22"/>
          <w:vertAlign w:val="subscript"/>
          <w:lang w:val="en-US" w:eastAsia="zh-CN" w:bidi="ar"/>
        </w:rPr>
        <w:t>∞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, area under the plasma concentration</w:t>
      </w:r>
      <w:r>
        <w:rPr>
          <w:rFonts w:hint="default" w:ascii="Times New Roman" w:hAnsi="Times New Roman" w:eastAsia="AdvOT1ef757c0 + 20" w:cs="Times New Roman"/>
          <w:color w:val="272727"/>
          <w:kern w:val="0"/>
          <w:sz w:val="22"/>
          <w:szCs w:val="22"/>
          <w:lang w:val="en-US" w:eastAsia="zh-CN" w:bidi="ar"/>
        </w:rPr>
        <w:t>–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time curve from time 0 to in</w:t>
      </w:r>
      <w:r>
        <w:rPr>
          <w:rFonts w:hint="default" w:ascii="Times New Roman" w:hAnsi="Times New Roman" w:eastAsia="AdvOT1ef757c0 + fb" w:cs="Times New Roman"/>
          <w:color w:val="272727"/>
          <w:kern w:val="0"/>
          <w:sz w:val="22"/>
          <w:szCs w:val="22"/>
          <w:lang w:val="en-US" w:eastAsia="zh-CN" w:bidi="ar"/>
        </w:rPr>
        <w:t>fi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 xml:space="preserve">nity; </w:t>
      </w:r>
      <w:r>
        <w:rPr>
          <w:rFonts w:hint="eastAsia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t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vertAlign w:val="subscript"/>
          <w:lang w:val="en-US" w:eastAsia="zh-CN" w:bidi="ar"/>
        </w:rPr>
        <w:t>1/2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, half-time</w:t>
      </w:r>
      <w:r>
        <w:rPr>
          <w:rFonts w:hint="eastAsia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 xml:space="preserve">; 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ℷ</w:t>
      </w:r>
      <w:r>
        <w:rPr>
          <w:rFonts w:hint="eastAsia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 xml:space="preserve">z, 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terminal elimination</w:t>
      </w:r>
      <w:r>
        <w:rPr>
          <w:rFonts w:hint="eastAsia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 xml:space="preserve"> rate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. All values are expressed as mean ± SD except for Tmax values, which are expressed as median (</w:t>
      </w:r>
      <w:r>
        <w:rPr>
          <w:rFonts w:hint="eastAsia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minimum, maximum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). N, the pharmacokinetic analysis set population; n, the statistical analysis population.</w:t>
      </w:r>
    </w:p>
    <w:p w14:paraId="06506C59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</w:pPr>
    </w:p>
    <w:p w14:paraId="4F65D811">
      <w:pPr>
        <w:keepNext w:val="0"/>
        <w:keepLines w:val="0"/>
        <w:widowControl/>
        <w:suppressLineNumbers w:val="0"/>
        <w:pBdr>
          <w:top w:val="none" w:color="auto" w:sz="0" w:space="0"/>
        </w:pBdr>
        <w:jc w:val="left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 w14:paraId="551F9F53">
      <w:pPr>
        <w:keepNext w:val="0"/>
        <w:keepLines w:val="0"/>
        <w:widowControl/>
        <w:suppressLineNumbers w:val="0"/>
        <w:pBdr>
          <w:top w:val="none" w:color="auto" w:sz="0" w:space="0"/>
        </w:pBdr>
        <w:jc w:val="left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 w14:paraId="2697C869">
      <w:pPr>
        <w:keepNext w:val="0"/>
        <w:keepLines w:val="0"/>
        <w:widowControl/>
        <w:suppressLineNumbers w:val="0"/>
        <w:pBdr>
          <w:top w:val="none" w:color="auto" w:sz="0" w:space="0"/>
        </w:pBdr>
        <w:jc w:val="left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 w14:paraId="6891D255">
      <w:pPr>
        <w:keepNext w:val="0"/>
        <w:keepLines w:val="0"/>
        <w:widowControl/>
        <w:suppressLineNumbers w:val="0"/>
        <w:pBdr>
          <w:top w:val="none" w:color="auto" w:sz="0" w:space="0"/>
        </w:pBdr>
        <w:jc w:val="left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 w14:paraId="1FB41C84">
      <w:pPr>
        <w:keepNext w:val="0"/>
        <w:keepLines w:val="0"/>
        <w:widowControl/>
        <w:suppressLineNumbers w:val="0"/>
        <w:pBdr>
          <w:top w:val="none" w:color="auto" w:sz="0" w:space="0"/>
        </w:pBdr>
        <w:jc w:val="left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 w14:paraId="2BE73B88">
      <w:pPr>
        <w:keepNext w:val="0"/>
        <w:keepLines w:val="0"/>
        <w:widowControl/>
        <w:suppressLineNumbers w:val="0"/>
        <w:pBdr>
          <w:top w:val="none" w:color="auto" w:sz="0" w:space="0"/>
        </w:pBdr>
        <w:jc w:val="left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 w14:paraId="37B48158">
      <w:pPr>
        <w:keepNext w:val="0"/>
        <w:keepLines w:val="0"/>
        <w:widowControl/>
        <w:suppressLineNumbers w:val="0"/>
        <w:pBdr>
          <w:top w:val="none" w:color="auto" w:sz="0" w:space="0"/>
        </w:pBdr>
        <w:jc w:val="left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 w14:paraId="334BF348">
      <w:pPr>
        <w:keepNext w:val="0"/>
        <w:keepLines w:val="0"/>
        <w:widowControl/>
        <w:suppressLineNumbers w:val="0"/>
        <w:pBdr>
          <w:top w:val="none" w:color="auto" w:sz="0" w:space="0"/>
        </w:pBdr>
        <w:jc w:val="left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 w14:paraId="0FE08D8B">
      <w:pPr>
        <w:keepNext w:val="0"/>
        <w:keepLines w:val="0"/>
        <w:widowControl/>
        <w:suppressLineNumbers w:val="0"/>
        <w:pBdr>
          <w:top w:val="none" w:color="auto" w:sz="0" w:space="0"/>
        </w:pBdr>
        <w:jc w:val="left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 w14:paraId="06214498">
      <w:pPr>
        <w:keepNext w:val="0"/>
        <w:keepLines w:val="0"/>
        <w:widowControl/>
        <w:suppressLineNumbers w:val="0"/>
        <w:pBdr>
          <w:top w:val="none" w:color="auto" w:sz="0" w:space="0"/>
        </w:pBdr>
        <w:jc w:val="left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  <w:t>Table 3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 </w:t>
      </w:r>
      <w:bookmarkStart w:id="3" w:name="OLE_LINK8"/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Bioequivalence assessment of pharmacokinetic parameters of piracetam after a single dose 800 mg of test and reference piracetam tablet in heslthy Chinese subjects under fasting condition</w:t>
      </w:r>
    </w:p>
    <w:bookmarkEnd w:id="3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2025"/>
        <w:gridCol w:w="1748"/>
        <w:gridCol w:w="2302"/>
        <w:gridCol w:w="1883"/>
        <w:gridCol w:w="2167"/>
        <w:gridCol w:w="2025"/>
      </w:tblGrid>
      <w:tr w14:paraId="126A4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DA9FA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bookmarkStart w:id="4" w:name="OLE_LINK9"/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Parameters</w:t>
            </w:r>
          </w:p>
        </w:tc>
        <w:tc>
          <w:tcPr>
            <w:tcW w:w="121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21F90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Fasting condition (N=28)</w:t>
            </w:r>
          </w:p>
        </w:tc>
      </w:tr>
      <w:tr w14:paraId="7E6DE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904E4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B0A719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E1454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R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65DEA63">
            <w:pPr>
              <w:keepNext w:val="0"/>
              <w:keepLines w:val="0"/>
              <w:widowControl/>
              <w:suppressLineNumbers w:val="0"/>
              <w:tabs>
                <w:tab w:val="center" w:pos="904"/>
              </w:tabs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T/R (%)</w:t>
            </w: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1C973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90% CI</w:t>
            </w:r>
          </w:p>
        </w:tc>
        <w:tc>
          <w:tcPr>
            <w:tcW w:w="21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4D316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Intra-subject CV (%)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3B67C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Power (%)</w:t>
            </w:r>
          </w:p>
        </w:tc>
      </w:tr>
      <w:tr w14:paraId="35590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9E4ACCC">
            <w:pPr>
              <w:keepNext/>
              <w:widowControl w:val="0"/>
              <w:adjustRightInd w:val="0"/>
              <w:spacing w:after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</w:rPr>
              <w:t>ln(C</w:t>
            </w:r>
            <w:r>
              <w:rPr>
                <w:rFonts w:ascii="Times New Roman" w:hAnsi="Times New Roman"/>
                <w:color w:val="000000"/>
                <w:vertAlign w:val="subscript"/>
              </w:rPr>
              <w:t>max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1B17A61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30885.86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8B0B370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31346.46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DF920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98.53</w:t>
            </w: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58887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90.85-106.85</w:t>
            </w:r>
          </w:p>
        </w:tc>
        <w:tc>
          <w:tcPr>
            <w:tcW w:w="216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57F9AFA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17.93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3628DFE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99.70</w:t>
            </w:r>
          </w:p>
        </w:tc>
      </w:tr>
      <w:tr w14:paraId="0C6EB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A9B79">
            <w:pPr>
              <w:keepNext/>
              <w:widowControl w:val="0"/>
              <w:adjustRightInd w:val="0"/>
              <w:spacing w:after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</w:rPr>
              <w:t>ln(AUC</w:t>
            </w:r>
            <w:r>
              <w:rPr>
                <w:rFonts w:ascii="Times New Roman" w:hAnsi="Times New Roman"/>
                <w:color w:val="000000"/>
                <w:vertAlign w:val="subscript"/>
              </w:rPr>
              <w:t>0-t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A7637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150609.44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FD1DB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153056.92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B65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98.40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B4C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96.78-100.05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1166B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3.64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19BCA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100.00</w:t>
            </w:r>
          </w:p>
        </w:tc>
      </w:tr>
      <w:tr w14:paraId="4A54A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97854F">
            <w:pPr>
              <w:keepNext/>
              <w:widowControl w:val="0"/>
              <w:adjustRightInd w:val="0"/>
              <w:spacing w:after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</w:rPr>
              <w:t>ln(AUC</w:t>
            </w:r>
            <w:r>
              <w:rPr>
                <w:rFonts w:ascii="Times New Roman" w:hAnsi="Times New Roman"/>
                <w:color w:val="000000"/>
                <w:vertAlign w:val="subscript"/>
              </w:rPr>
              <w:t>0-∞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821F4B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158955.56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1FE8FB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161391.78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6621F9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98.49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95C7A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96.77-100.24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E906ECE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3.87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6A8535E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100.00</w:t>
            </w:r>
          </w:p>
        </w:tc>
      </w:tr>
      <w:bookmarkEnd w:id="4"/>
    </w:tbl>
    <w:p w14:paraId="609677A7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</w:pPr>
    </w:p>
    <w:p w14:paraId="29FEFCC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2"/>
          <w:szCs w:val="22"/>
        </w:rPr>
      </w:pPr>
      <w:bookmarkStart w:id="5" w:name="OLE_LINK10"/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Notes: 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C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vertAlign w:val="subscript"/>
          <w:lang w:val="en-US" w:eastAsia="zh-CN" w:bidi="ar"/>
        </w:rPr>
        <w:t>max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, maximum plasma drug concentration;</w:t>
      </w:r>
      <w:r>
        <w:rPr>
          <w:rFonts w:hint="eastAsia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AUC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vertAlign w:val="subscript"/>
          <w:lang w:val="en-US" w:eastAsia="zh-CN" w:bidi="ar"/>
        </w:rPr>
        <w:t>0-t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, area under the plasma concentration</w:t>
      </w:r>
      <w:r>
        <w:rPr>
          <w:rFonts w:hint="default" w:ascii="Times New Roman" w:hAnsi="Times New Roman" w:eastAsia="AdvOT1ef757c0 + 20" w:cs="Times New Roman"/>
          <w:color w:val="272727"/>
          <w:kern w:val="0"/>
          <w:sz w:val="22"/>
          <w:szCs w:val="22"/>
          <w:lang w:val="en-US" w:eastAsia="zh-CN" w:bidi="ar"/>
        </w:rPr>
        <w:t>–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time curve from time 0 to the time of the last measurable concentration; AUC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vertAlign w:val="subscript"/>
          <w:lang w:val="en-US" w:eastAsia="zh-CN" w:bidi="ar"/>
        </w:rPr>
        <w:t>0-</w:t>
      </w:r>
      <w:r>
        <w:rPr>
          <w:rFonts w:hint="default" w:ascii="Times New Roman" w:hAnsi="Times New Roman" w:eastAsia="AdvminionSymbols" w:cs="Times New Roman"/>
          <w:color w:val="272727"/>
          <w:kern w:val="0"/>
          <w:sz w:val="22"/>
          <w:szCs w:val="22"/>
          <w:vertAlign w:val="subscript"/>
          <w:lang w:val="en-US" w:eastAsia="zh-CN" w:bidi="ar"/>
        </w:rPr>
        <w:t>∞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, area under the plasma concentration</w:t>
      </w:r>
      <w:r>
        <w:rPr>
          <w:rFonts w:hint="default" w:ascii="Times New Roman" w:hAnsi="Times New Roman" w:eastAsia="AdvOT1ef757c0 + 20" w:cs="Times New Roman"/>
          <w:color w:val="272727"/>
          <w:kern w:val="0"/>
          <w:sz w:val="22"/>
          <w:szCs w:val="22"/>
          <w:lang w:val="en-US" w:eastAsia="zh-CN" w:bidi="ar"/>
        </w:rPr>
        <w:t>–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time curve from time 0 to in</w:t>
      </w:r>
      <w:r>
        <w:rPr>
          <w:rFonts w:hint="default" w:ascii="Times New Roman" w:hAnsi="Times New Roman" w:eastAsia="AdvOT1ef757c0 + fb" w:cs="Times New Roman"/>
          <w:color w:val="272727"/>
          <w:kern w:val="0"/>
          <w:sz w:val="22"/>
          <w:szCs w:val="22"/>
          <w:lang w:val="en-US" w:eastAsia="zh-CN" w:bidi="ar"/>
        </w:rPr>
        <w:t>fi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nity; CV, coef</w:t>
      </w:r>
      <w:r>
        <w:rPr>
          <w:rFonts w:hint="default" w:ascii="Times New Roman" w:hAnsi="Times New Roman" w:eastAsia="AdvOT1ef757c0 + fb" w:cs="Times New Roman"/>
          <w:color w:val="272727"/>
          <w:kern w:val="0"/>
          <w:sz w:val="22"/>
          <w:szCs w:val="22"/>
          <w:lang w:val="en-US" w:eastAsia="zh-CN" w:bidi="ar"/>
        </w:rPr>
        <w:t>fi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cients of variation; N, the bioequivalent analysis set population.</w:t>
      </w:r>
    </w:p>
    <w:bookmarkEnd w:id="5"/>
    <w:p w14:paraId="41FE565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</w:p>
    <w:p w14:paraId="2CA2C493">
      <w:pPr>
        <w:keepNext w:val="0"/>
        <w:keepLines w:val="0"/>
        <w:widowControl/>
        <w:suppressLineNumbers w:val="0"/>
        <w:pBdr>
          <w:top w:val="none" w:color="auto" w:sz="0" w:space="0"/>
        </w:pBdr>
        <w:jc w:val="left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  <w:t>Table 4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 Bioequivalence assessment of pharmacokinetic parameters of piracetam after a single dose 800 mg of test and reference piracetam tablet in heslthy Chinese subjects under fed condition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2025"/>
        <w:gridCol w:w="1748"/>
        <w:gridCol w:w="2302"/>
        <w:gridCol w:w="1883"/>
        <w:gridCol w:w="2167"/>
        <w:gridCol w:w="2025"/>
      </w:tblGrid>
      <w:tr w14:paraId="5F7A1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8C2C8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Parameters</w:t>
            </w:r>
          </w:p>
        </w:tc>
        <w:tc>
          <w:tcPr>
            <w:tcW w:w="121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3CE57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</w:pBdr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Fed condition (N=28)</w:t>
            </w:r>
          </w:p>
        </w:tc>
      </w:tr>
      <w:tr w14:paraId="0F4FA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41195D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E3BBC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9E998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R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B34E5A3">
            <w:pPr>
              <w:keepNext w:val="0"/>
              <w:keepLines w:val="0"/>
              <w:widowControl/>
              <w:suppressLineNumbers w:val="0"/>
              <w:tabs>
                <w:tab w:val="center" w:pos="904"/>
              </w:tabs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T/R (%)</w:t>
            </w: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1B9C15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90% CI</w:t>
            </w:r>
          </w:p>
        </w:tc>
        <w:tc>
          <w:tcPr>
            <w:tcW w:w="21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796C8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Intra-subject CV (%)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2936F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Power (%)</w:t>
            </w:r>
          </w:p>
        </w:tc>
      </w:tr>
      <w:tr w14:paraId="45C5D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859F9AD">
            <w:pPr>
              <w:keepNext/>
              <w:widowControl w:val="0"/>
              <w:adjustRightInd w:val="0"/>
              <w:spacing w:after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</w:rPr>
              <w:t>ln(C</w:t>
            </w:r>
            <w:r>
              <w:rPr>
                <w:rFonts w:ascii="Times New Roman" w:hAnsi="Times New Roman"/>
                <w:color w:val="000000"/>
                <w:vertAlign w:val="subscript"/>
              </w:rPr>
              <w:t>max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4497C736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20112.12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459EF3BE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20252.02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F09775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99.31</w:t>
            </w: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BACB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93.58-105.39</w:t>
            </w:r>
          </w:p>
        </w:tc>
        <w:tc>
          <w:tcPr>
            <w:tcW w:w="21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B108BFB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13.10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F20C9DD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100.00</w:t>
            </w:r>
          </w:p>
        </w:tc>
      </w:tr>
      <w:tr w14:paraId="064CD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28994">
            <w:pPr>
              <w:keepNext/>
              <w:widowControl w:val="0"/>
              <w:adjustRightInd w:val="0"/>
              <w:spacing w:after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</w:rPr>
              <w:t>ln(AUC</w:t>
            </w:r>
            <w:r>
              <w:rPr>
                <w:rFonts w:ascii="Times New Roman" w:hAnsi="Times New Roman"/>
                <w:color w:val="000000"/>
                <w:vertAlign w:val="subscript"/>
              </w:rPr>
              <w:t>0-t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9DCA1BD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139600.18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D200741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140970.84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3CF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99.03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AC6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97.70-100.37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6BEF25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2.96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8109F4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100.00</w:t>
            </w:r>
          </w:p>
        </w:tc>
      </w:tr>
      <w:tr w14:paraId="56334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1293A7A">
            <w:pPr>
              <w:keepNext/>
              <w:widowControl w:val="0"/>
              <w:adjustRightInd w:val="0"/>
              <w:spacing w:after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</w:rPr>
              <w:t>ln(AUC</w:t>
            </w:r>
            <w:r>
              <w:rPr>
                <w:rFonts w:ascii="Times New Roman" w:hAnsi="Times New Roman"/>
                <w:color w:val="000000"/>
                <w:vertAlign w:val="subscript"/>
              </w:rPr>
              <w:t>0-∞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58D05268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148448.63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1228A4AA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149932.58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4A7A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99.01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8400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97.63-100.41</w:t>
            </w:r>
          </w:p>
        </w:tc>
        <w:tc>
          <w:tcPr>
            <w:tcW w:w="21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50746557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3.08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FFA6C88">
            <w:pPr>
              <w:keepNext/>
              <w:widowControl w:val="0"/>
              <w:adjustRightInd w:val="0"/>
              <w:spacing w:after="0"/>
              <w:jc w:val="center"/>
              <w:rPr>
                <w:rFonts w:hint="eastAsia" w:ascii="Times New Roman" w:hAnsi="Times New Roman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100.00</w:t>
            </w:r>
          </w:p>
        </w:tc>
      </w:tr>
    </w:tbl>
    <w:p w14:paraId="510DC8A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Notes: 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C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vertAlign w:val="subscript"/>
          <w:lang w:val="en-US" w:eastAsia="zh-CN" w:bidi="ar"/>
        </w:rPr>
        <w:t>max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, maximum plasma drug concentration;</w:t>
      </w:r>
      <w:r>
        <w:rPr>
          <w:rFonts w:hint="eastAsia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AUC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vertAlign w:val="subscript"/>
          <w:lang w:val="en-US" w:eastAsia="zh-CN" w:bidi="ar"/>
        </w:rPr>
        <w:t>0-t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, area under the plasma concentration</w:t>
      </w:r>
      <w:r>
        <w:rPr>
          <w:rFonts w:hint="default" w:ascii="Times New Roman" w:hAnsi="Times New Roman" w:eastAsia="AdvOT1ef757c0 + 20" w:cs="Times New Roman"/>
          <w:color w:val="272727"/>
          <w:kern w:val="0"/>
          <w:sz w:val="22"/>
          <w:szCs w:val="22"/>
          <w:lang w:val="en-US" w:eastAsia="zh-CN" w:bidi="ar"/>
        </w:rPr>
        <w:t>–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time curve from time 0 to the time of the last measurable concentration; AUC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vertAlign w:val="subscript"/>
          <w:lang w:val="en-US" w:eastAsia="zh-CN" w:bidi="ar"/>
        </w:rPr>
        <w:t>0-</w:t>
      </w:r>
      <w:r>
        <w:rPr>
          <w:rFonts w:hint="default" w:ascii="Times New Roman" w:hAnsi="Times New Roman" w:eastAsia="AdvminionSymbols" w:cs="Times New Roman"/>
          <w:color w:val="272727"/>
          <w:kern w:val="0"/>
          <w:sz w:val="22"/>
          <w:szCs w:val="22"/>
          <w:vertAlign w:val="subscript"/>
          <w:lang w:val="en-US" w:eastAsia="zh-CN" w:bidi="ar"/>
        </w:rPr>
        <w:t>∞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, area under the plasma concentration</w:t>
      </w:r>
      <w:r>
        <w:rPr>
          <w:rFonts w:hint="default" w:ascii="Times New Roman" w:hAnsi="Times New Roman" w:eastAsia="AdvOT1ef757c0 + 20" w:cs="Times New Roman"/>
          <w:color w:val="272727"/>
          <w:kern w:val="0"/>
          <w:sz w:val="22"/>
          <w:szCs w:val="22"/>
          <w:lang w:val="en-US" w:eastAsia="zh-CN" w:bidi="ar"/>
        </w:rPr>
        <w:t>–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time curve from time 0 to in</w:t>
      </w:r>
      <w:r>
        <w:rPr>
          <w:rFonts w:hint="default" w:ascii="Times New Roman" w:hAnsi="Times New Roman" w:eastAsia="AdvOT1ef757c0 + fb" w:cs="Times New Roman"/>
          <w:color w:val="272727"/>
          <w:kern w:val="0"/>
          <w:sz w:val="22"/>
          <w:szCs w:val="22"/>
          <w:lang w:val="en-US" w:eastAsia="zh-CN" w:bidi="ar"/>
        </w:rPr>
        <w:t>fi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nity; CV, coef</w:t>
      </w:r>
      <w:r>
        <w:rPr>
          <w:rFonts w:hint="default" w:ascii="Times New Roman" w:hAnsi="Times New Roman" w:eastAsia="AdvOT1ef757c0 + fb" w:cs="Times New Roman"/>
          <w:color w:val="272727"/>
          <w:kern w:val="0"/>
          <w:sz w:val="22"/>
          <w:szCs w:val="22"/>
          <w:lang w:val="en-US" w:eastAsia="zh-CN" w:bidi="ar"/>
        </w:rPr>
        <w:t>fi</w:t>
      </w:r>
      <w:r>
        <w:rPr>
          <w:rFonts w:hint="default" w:ascii="Times New Roman" w:hAnsi="Times New Roman" w:eastAsia="AdvOT1ef757c0" w:cs="Times New Roman"/>
          <w:color w:val="272727"/>
          <w:kern w:val="0"/>
          <w:sz w:val="22"/>
          <w:szCs w:val="22"/>
          <w:lang w:val="en-US" w:eastAsia="zh-CN" w:bidi="ar"/>
        </w:rPr>
        <w:t>cients of variation; N, the bioequivalent analysis set population.</w:t>
      </w:r>
    </w:p>
    <w:p w14:paraId="2FAFB1D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</w:p>
    <w:p w14:paraId="13BB8317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 w14:paraId="7760F3EF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 w14:paraId="528C2E2A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</w:p>
    <w:p w14:paraId="23809FA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  <w:t>Table 5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 xml:space="preserve"> Summary of AEs in healthy Chinese subjects under fasting and fed conditions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7"/>
        <w:gridCol w:w="930"/>
        <w:gridCol w:w="885"/>
        <w:gridCol w:w="855"/>
        <w:gridCol w:w="1035"/>
        <w:gridCol w:w="900"/>
        <w:gridCol w:w="1020"/>
        <w:gridCol w:w="900"/>
        <w:gridCol w:w="945"/>
        <w:gridCol w:w="930"/>
        <w:gridCol w:w="1065"/>
        <w:gridCol w:w="859"/>
        <w:gridCol w:w="1083"/>
      </w:tblGrid>
      <w:tr w14:paraId="201DE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7" w:type="dxa"/>
            <w:vMerge w:val="restart"/>
            <w:tcBorders>
              <w:top w:val="single" w:color="auto" w:sz="4" w:space="0"/>
            </w:tcBorders>
            <w:vAlign w:val="center"/>
          </w:tcPr>
          <w:p w14:paraId="251122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Parameter</w:t>
            </w:r>
          </w:p>
        </w:tc>
        <w:tc>
          <w:tcPr>
            <w:tcW w:w="5625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3AF1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Fasting condition</w:t>
            </w:r>
          </w:p>
        </w:tc>
        <w:tc>
          <w:tcPr>
            <w:tcW w:w="5782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5919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Fed condition</w:t>
            </w:r>
          </w:p>
        </w:tc>
      </w:tr>
      <w:tr w14:paraId="3A124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7" w:type="dxa"/>
            <w:vMerge w:val="continue"/>
            <w:vAlign w:val="center"/>
          </w:tcPr>
          <w:p w14:paraId="5C0B5E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AA938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bookmarkStart w:id="6" w:name="OLE_LINK13"/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Test (n=28)</w:t>
            </w:r>
            <w:bookmarkEnd w:id="6"/>
          </w:p>
        </w:tc>
        <w:tc>
          <w:tcPr>
            <w:tcW w:w="189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470D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bookmarkStart w:id="7" w:name="OLE_LINK14"/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Reference (n=28)</w:t>
            </w:r>
            <w:bookmarkEnd w:id="7"/>
          </w:p>
        </w:tc>
        <w:tc>
          <w:tcPr>
            <w:tcW w:w="192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3822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bookmarkStart w:id="8" w:name="OLE_LINK15"/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Total (n=28)</w:t>
            </w:r>
            <w:bookmarkEnd w:id="8"/>
          </w:p>
        </w:tc>
        <w:tc>
          <w:tcPr>
            <w:tcW w:w="184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215CF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Test (n=28)</w:t>
            </w:r>
          </w:p>
        </w:tc>
        <w:tc>
          <w:tcPr>
            <w:tcW w:w="199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85C2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Reference (n=28)</w:t>
            </w:r>
          </w:p>
        </w:tc>
        <w:tc>
          <w:tcPr>
            <w:tcW w:w="1942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4D2D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Total (n=28)</w:t>
            </w:r>
          </w:p>
        </w:tc>
      </w:tr>
      <w:tr w14:paraId="67FDA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7" w:type="dxa"/>
            <w:vMerge w:val="continue"/>
            <w:tcBorders>
              <w:bottom w:val="single" w:color="auto" w:sz="4" w:space="0"/>
            </w:tcBorders>
            <w:vAlign w:val="center"/>
          </w:tcPr>
          <w:p w14:paraId="70033E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bookmarkStart w:id="9" w:name="OLE_LINK12" w:colFirst="1" w:colLast="2"/>
          </w:p>
        </w:tc>
        <w:tc>
          <w:tcPr>
            <w:tcW w:w="9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3C8A4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 xml:space="preserve">AE </w:t>
            </w:r>
          </w:p>
          <w:p w14:paraId="3DC5C6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Count</w:t>
            </w:r>
          </w:p>
        </w:tc>
        <w:tc>
          <w:tcPr>
            <w:tcW w:w="88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D5BB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N (%)</w:t>
            </w:r>
          </w:p>
        </w:tc>
        <w:tc>
          <w:tcPr>
            <w:tcW w:w="85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1DC6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AE</w:t>
            </w:r>
          </w:p>
          <w:p w14:paraId="460721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Count</w:t>
            </w:r>
          </w:p>
        </w:tc>
        <w:tc>
          <w:tcPr>
            <w:tcW w:w="103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0289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N (%)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28B11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AE Count</w:t>
            </w: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701A7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N (%)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F4890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AE Count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904C1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N (%)</w:t>
            </w:r>
          </w:p>
        </w:tc>
        <w:tc>
          <w:tcPr>
            <w:tcW w:w="93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7F265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AE Count</w:t>
            </w:r>
          </w:p>
        </w:tc>
        <w:tc>
          <w:tcPr>
            <w:tcW w:w="106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D70402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N (%)</w:t>
            </w:r>
          </w:p>
        </w:tc>
        <w:tc>
          <w:tcPr>
            <w:tcW w:w="85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7F36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AE Count</w:t>
            </w:r>
          </w:p>
        </w:tc>
        <w:tc>
          <w:tcPr>
            <w:tcW w:w="108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1EB53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N (%)</w:t>
            </w:r>
          </w:p>
        </w:tc>
      </w:tr>
      <w:bookmarkEnd w:id="9"/>
      <w:tr w14:paraId="46169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7" w:type="dxa"/>
            <w:tcBorders>
              <w:top w:val="single" w:color="auto" w:sz="4" w:space="0"/>
            </w:tcBorders>
            <w:vAlign w:val="center"/>
          </w:tcPr>
          <w:p w14:paraId="59A11D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Total</w:t>
            </w:r>
          </w:p>
        </w:tc>
        <w:tc>
          <w:tcPr>
            <w:tcW w:w="930" w:type="dxa"/>
            <w:tcBorders>
              <w:top w:val="single" w:color="auto" w:sz="4" w:space="0"/>
            </w:tcBorders>
            <w:vAlign w:val="center"/>
          </w:tcPr>
          <w:p w14:paraId="50FE6AE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885" w:type="dxa"/>
            <w:tcBorders>
              <w:top w:val="single" w:color="auto" w:sz="4" w:space="0"/>
            </w:tcBorders>
            <w:vAlign w:val="center"/>
          </w:tcPr>
          <w:p w14:paraId="2C9263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855" w:type="dxa"/>
            <w:tcBorders>
              <w:top w:val="single" w:color="auto" w:sz="4" w:space="0"/>
            </w:tcBorders>
            <w:vAlign w:val="center"/>
          </w:tcPr>
          <w:p w14:paraId="51A1D4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035" w:type="dxa"/>
            <w:tcBorders>
              <w:top w:val="single" w:color="auto" w:sz="4" w:space="0"/>
            </w:tcBorders>
            <w:vAlign w:val="center"/>
          </w:tcPr>
          <w:p w14:paraId="3E3857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 (7.14)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 w14:paraId="342417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vAlign w:val="center"/>
          </w:tcPr>
          <w:p w14:paraId="0893635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bookmarkStart w:id="10" w:name="OLE_LINK16"/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 (7.14)</w:t>
            </w:r>
            <w:bookmarkEnd w:id="10"/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 w14:paraId="5EAAD4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top w:val="single" w:color="auto" w:sz="4" w:space="0"/>
            </w:tcBorders>
            <w:vAlign w:val="center"/>
          </w:tcPr>
          <w:p w14:paraId="51720E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 (3.57)</w:t>
            </w:r>
          </w:p>
        </w:tc>
        <w:tc>
          <w:tcPr>
            <w:tcW w:w="930" w:type="dxa"/>
            <w:tcBorders>
              <w:top w:val="single" w:color="auto" w:sz="4" w:space="0"/>
            </w:tcBorders>
            <w:vAlign w:val="center"/>
          </w:tcPr>
          <w:p w14:paraId="5D5F92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065" w:type="dxa"/>
            <w:tcBorders>
              <w:top w:val="single" w:color="auto" w:sz="4" w:space="0"/>
            </w:tcBorders>
            <w:vAlign w:val="center"/>
          </w:tcPr>
          <w:p w14:paraId="0E225C1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4 (14.29)</w:t>
            </w:r>
          </w:p>
        </w:tc>
        <w:tc>
          <w:tcPr>
            <w:tcW w:w="859" w:type="dxa"/>
            <w:tcBorders>
              <w:top w:val="single" w:color="auto" w:sz="4" w:space="0"/>
            </w:tcBorders>
            <w:vAlign w:val="center"/>
          </w:tcPr>
          <w:p w14:paraId="56EA6A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083" w:type="dxa"/>
            <w:tcBorders>
              <w:top w:val="single" w:color="auto" w:sz="4" w:space="0"/>
            </w:tcBorders>
            <w:vAlign w:val="center"/>
          </w:tcPr>
          <w:p w14:paraId="0F9470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5 (17.86)</w:t>
            </w:r>
          </w:p>
        </w:tc>
      </w:tr>
      <w:tr w14:paraId="1E7F0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13"/>
            <w:vAlign w:val="center"/>
          </w:tcPr>
          <w:p w14:paraId="37C7052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Blood and lymphatic system disorders</w:t>
            </w:r>
          </w:p>
        </w:tc>
      </w:tr>
      <w:tr w14:paraId="585E9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7" w:type="dxa"/>
            <w:vAlign w:val="center"/>
          </w:tcPr>
          <w:p w14:paraId="225813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Anemia</w:t>
            </w:r>
          </w:p>
        </w:tc>
        <w:tc>
          <w:tcPr>
            <w:tcW w:w="930" w:type="dxa"/>
            <w:vAlign w:val="center"/>
          </w:tcPr>
          <w:p w14:paraId="3B19FCB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885" w:type="dxa"/>
            <w:vAlign w:val="center"/>
          </w:tcPr>
          <w:p w14:paraId="07D769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855" w:type="dxa"/>
            <w:vAlign w:val="center"/>
          </w:tcPr>
          <w:p w14:paraId="721061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035" w:type="dxa"/>
            <w:vAlign w:val="center"/>
          </w:tcPr>
          <w:p w14:paraId="68FA24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 (7.14)</w:t>
            </w:r>
          </w:p>
        </w:tc>
        <w:tc>
          <w:tcPr>
            <w:tcW w:w="900" w:type="dxa"/>
            <w:vAlign w:val="center"/>
          </w:tcPr>
          <w:p w14:paraId="67ABB5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020" w:type="dxa"/>
            <w:vAlign w:val="center"/>
          </w:tcPr>
          <w:p w14:paraId="5FFD94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 (7.14)</w:t>
            </w:r>
          </w:p>
        </w:tc>
        <w:tc>
          <w:tcPr>
            <w:tcW w:w="900" w:type="dxa"/>
            <w:vAlign w:val="center"/>
          </w:tcPr>
          <w:p w14:paraId="717649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945" w:type="dxa"/>
            <w:vAlign w:val="center"/>
          </w:tcPr>
          <w:p w14:paraId="49BB0E9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D0C93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5E1D40D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 (3.57)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00ADDC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28A5C4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 (3.57)</w:t>
            </w:r>
          </w:p>
        </w:tc>
      </w:tr>
      <w:tr w14:paraId="7E035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13"/>
            <w:vAlign w:val="center"/>
          </w:tcPr>
          <w:p w14:paraId="33037052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  <w:szCs w:val="22"/>
                <w:vertAlign w:val="baseline"/>
                <w:lang w:val="en-US" w:eastAsia="zh-CN"/>
              </w:rPr>
              <w:t>Results of inspection</w:t>
            </w:r>
          </w:p>
        </w:tc>
      </w:tr>
      <w:tr w14:paraId="3DDF4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7" w:type="dxa"/>
            <w:vAlign w:val="center"/>
          </w:tcPr>
          <w:p w14:paraId="6EBA936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Leukocyte count increased</w:t>
            </w:r>
          </w:p>
        </w:tc>
        <w:tc>
          <w:tcPr>
            <w:tcW w:w="930" w:type="dxa"/>
            <w:vAlign w:val="center"/>
          </w:tcPr>
          <w:p w14:paraId="45ECD1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885" w:type="dxa"/>
            <w:vAlign w:val="center"/>
          </w:tcPr>
          <w:p w14:paraId="2CE8BB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855" w:type="dxa"/>
            <w:vAlign w:val="center"/>
          </w:tcPr>
          <w:p w14:paraId="494E1D6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35" w:type="dxa"/>
            <w:vAlign w:val="center"/>
          </w:tcPr>
          <w:p w14:paraId="59BB1A8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 (3.57)</w:t>
            </w:r>
          </w:p>
        </w:tc>
        <w:tc>
          <w:tcPr>
            <w:tcW w:w="900" w:type="dxa"/>
            <w:vAlign w:val="center"/>
          </w:tcPr>
          <w:p w14:paraId="44DAFB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58FA03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 (3.57)</w:t>
            </w:r>
          </w:p>
        </w:tc>
        <w:tc>
          <w:tcPr>
            <w:tcW w:w="900" w:type="dxa"/>
            <w:vAlign w:val="center"/>
          </w:tcPr>
          <w:p w14:paraId="136F266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 w14:paraId="6052522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 w14:paraId="028667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0AD508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3CAC2F0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vAlign w:val="center"/>
          </w:tcPr>
          <w:p w14:paraId="043C68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6642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7" w:type="dxa"/>
            <w:vAlign w:val="center"/>
          </w:tcPr>
          <w:p w14:paraId="2C0254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Neutrophil count increased</w:t>
            </w:r>
          </w:p>
        </w:tc>
        <w:tc>
          <w:tcPr>
            <w:tcW w:w="930" w:type="dxa"/>
            <w:vAlign w:val="center"/>
          </w:tcPr>
          <w:p w14:paraId="2A137A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885" w:type="dxa"/>
            <w:vAlign w:val="center"/>
          </w:tcPr>
          <w:p w14:paraId="462413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855" w:type="dxa"/>
            <w:vAlign w:val="center"/>
          </w:tcPr>
          <w:p w14:paraId="68BEAE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35" w:type="dxa"/>
            <w:vAlign w:val="center"/>
          </w:tcPr>
          <w:p w14:paraId="0FBC9A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 (3.57)</w:t>
            </w:r>
          </w:p>
        </w:tc>
        <w:tc>
          <w:tcPr>
            <w:tcW w:w="900" w:type="dxa"/>
            <w:vAlign w:val="center"/>
          </w:tcPr>
          <w:p w14:paraId="7A1747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5861ED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 (3.57)</w:t>
            </w:r>
          </w:p>
        </w:tc>
        <w:tc>
          <w:tcPr>
            <w:tcW w:w="900" w:type="dxa"/>
            <w:vAlign w:val="center"/>
          </w:tcPr>
          <w:p w14:paraId="520AEB5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 w14:paraId="6660C3D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 w14:paraId="436E76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5DD9182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32EF21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vAlign w:val="center"/>
          </w:tcPr>
          <w:p w14:paraId="1B5B90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1AD3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7" w:type="dxa"/>
            <w:vAlign w:val="center"/>
          </w:tcPr>
          <w:p w14:paraId="67FF719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Percentage of neutrophil increased</w:t>
            </w:r>
          </w:p>
        </w:tc>
        <w:tc>
          <w:tcPr>
            <w:tcW w:w="930" w:type="dxa"/>
            <w:vAlign w:val="center"/>
          </w:tcPr>
          <w:p w14:paraId="22C015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885" w:type="dxa"/>
            <w:vAlign w:val="center"/>
          </w:tcPr>
          <w:p w14:paraId="5E9B06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855" w:type="dxa"/>
            <w:vAlign w:val="center"/>
          </w:tcPr>
          <w:p w14:paraId="5BE98E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35" w:type="dxa"/>
            <w:vAlign w:val="center"/>
          </w:tcPr>
          <w:p w14:paraId="78707B1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 (3.57)</w:t>
            </w:r>
          </w:p>
        </w:tc>
        <w:tc>
          <w:tcPr>
            <w:tcW w:w="900" w:type="dxa"/>
            <w:vAlign w:val="center"/>
          </w:tcPr>
          <w:p w14:paraId="0FF1BB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20" w:type="dxa"/>
            <w:vAlign w:val="center"/>
          </w:tcPr>
          <w:p w14:paraId="3AA10F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 (3.57)</w:t>
            </w:r>
          </w:p>
        </w:tc>
        <w:tc>
          <w:tcPr>
            <w:tcW w:w="900" w:type="dxa"/>
            <w:vAlign w:val="center"/>
          </w:tcPr>
          <w:p w14:paraId="52928D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 w14:paraId="1DC539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 w14:paraId="5C3500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Align w:val="center"/>
          </w:tcPr>
          <w:p w14:paraId="276827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 w14:paraId="083376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vAlign w:val="center"/>
          </w:tcPr>
          <w:p w14:paraId="468910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A510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7" w:type="dxa"/>
            <w:vAlign w:val="center"/>
          </w:tcPr>
          <w:p w14:paraId="309EC5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bookmarkStart w:id="11" w:name="OLE_LINK17" w:colFirst="7" w:colLast="12"/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Blood uric acid increased</w:t>
            </w:r>
          </w:p>
        </w:tc>
        <w:tc>
          <w:tcPr>
            <w:tcW w:w="930" w:type="dxa"/>
            <w:vAlign w:val="center"/>
          </w:tcPr>
          <w:p w14:paraId="5BD013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 w14:paraId="125859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vAlign w:val="center"/>
          </w:tcPr>
          <w:p w14:paraId="6133DE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 w14:paraId="7AE64A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 w14:paraId="44584C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 w14:paraId="0E67B16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 w14:paraId="4B3A906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945" w:type="dxa"/>
            <w:vAlign w:val="center"/>
          </w:tcPr>
          <w:p w14:paraId="63EC22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930" w:type="dxa"/>
            <w:vAlign w:val="center"/>
          </w:tcPr>
          <w:p w14:paraId="5C99B8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65" w:type="dxa"/>
            <w:vAlign w:val="center"/>
          </w:tcPr>
          <w:p w14:paraId="211D7A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 (3.57)</w:t>
            </w:r>
          </w:p>
        </w:tc>
        <w:tc>
          <w:tcPr>
            <w:tcW w:w="859" w:type="dxa"/>
            <w:vAlign w:val="center"/>
          </w:tcPr>
          <w:p w14:paraId="4028BDB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83" w:type="dxa"/>
            <w:vAlign w:val="center"/>
          </w:tcPr>
          <w:p w14:paraId="2CD211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 (3.57)</w:t>
            </w:r>
          </w:p>
        </w:tc>
      </w:tr>
      <w:bookmarkEnd w:id="11"/>
      <w:tr w14:paraId="79DD8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7" w:type="dxa"/>
            <w:vAlign w:val="center"/>
          </w:tcPr>
          <w:p w14:paraId="5B280A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Positive urine leukocyte</w:t>
            </w:r>
          </w:p>
        </w:tc>
        <w:tc>
          <w:tcPr>
            <w:tcW w:w="930" w:type="dxa"/>
            <w:vAlign w:val="center"/>
          </w:tcPr>
          <w:p w14:paraId="52E1C3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 w14:paraId="5EAE5E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vAlign w:val="center"/>
          </w:tcPr>
          <w:p w14:paraId="16A14A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 w14:paraId="2E1C53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 w14:paraId="41BDA4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 w14:paraId="2795ED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BBC71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  <w:t>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3309DF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0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912A42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0C2CA9F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 (3.57)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7BFB10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90A7A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 (3.57)</w:t>
            </w:r>
          </w:p>
        </w:tc>
      </w:tr>
      <w:tr w14:paraId="23946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7" w:type="dxa"/>
            <w:tcBorders>
              <w:bottom w:val="single" w:color="auto" w:sz="4" w:space="0"/>
            </w:tcBorders>
            <w:vAlign w:val="center"/>
          </w:tcPr>
          <w:p w14:paraId="4B41034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Leukocyte count decreased</w:t>
            </w:r>
          </w:p>
        </w:tc>
        <w:tc>
          <w:tcPr>
            <w:tcW w:w="930" w:type="dxa"/>
            <w:tcBorders>
              <w:bottom w:val="single" w:color="auto" w:sz="4" w:space="0"/>
            </w:tcBorders>
            <w:vAlign w:val="center"/>
          </w:tcPr>
          <w:p w14:paraId="73E298D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tcBorders>
              <w:bottom w:val="single" w:color="auto" w:sz="4" w:space="0"/>
            </w:tcBorders>
            <w:vAlign w:val="center"/>
          </w:tcPr>
          <w:p w14:paraId="1FC9EA9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tcBorders>
              <w:bottom w:val="single" w:color="auto" w:sz="4" w:space="0"/>
            </w:tcBorders>
            <w:vAlign w:val="center"/>
          </w:tcPr>
          <w:p w14:paraId="2957D92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tcBorders>
              <w:bottom w:val="single" w:color="auto" w:sz="4" w:space="0"/>
            </w:tcBorders>
            <w:vAlign w:val="center"/>
          </w:tcPr>
          <w:p w14:paraId="2420DB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 w14:paraId="54E56A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tcBorders>
              <w:bottom w:val="single" w:color="auto" w:sz="4" w:space="0"/>
            </w:tcBorders>
            <w:vAlign w:val="center"/>
          </w:tcPr>
          <w:p w14:paraId="3D5D7E6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 w14:paraId="5748E52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45" w:type="dxa"/>
            <w:tcBorders>
              <w:bottom w:val="single" w:color="auto" w:sz="4" w:space="0"/>
            </w:tcBorders>
            <w:vAlign w:val="center"/>
          </w:tcPr>
          <w:p w14:paraId="551E307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 (3.57)</w:t>
            </w:r>
          </w:p>
        </w:tc>
        <w:tc>
          <w:tcPr>
            <w:tcW w:w="930" w:type="dxa"/>
            <w:tcBorders>
              <w:bottom w:val="single" w:color="auto" w:sz="4" w:space="0"/>
            </w:tcBorders>
            <w:vAlign w:val="center"/>
          </w:tcPr>
          <w:p w14:paraId="3939A3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65" w:type="dxa"/>
            <w:tcBorders>
              <w:bottom w:val="single" w:color="auto" w:sz="4" w:space="0"/>
            </w:tcBorders>
            <w:vAlign w:val="center"/>
          </w:tcPr>
          <w:p w14:paraId="1C8CEC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1 (3.57)</w:t>
            </w:r>
          </w:p>
        </w:tc>
        <w:tc>
          <w:tcPr>
            <w:tcW w:w="859" w:type="dxa"/>
            <w:tcBorders>
              <w:bottom w:val="single" w:color="auto" w:sz="4" w:space="0"/>
            </w:tcBorders>
            <w:vAlign w:val="center"/>
          </w:tcPr>
          <w:p w14:paraId="1821D18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083" w:type="dxa"/>
            <w:tcBorders>
              <w:bottom w:val="single" w:color="auto" w:sz="4" w:space="0"/>
            </w:tcBorders>
            <w:vAlign w:val="center"/>
          </w:tcPr>
          <w:p w14:paraId="7E177E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vertAlign w:val="baseline"/>
                <w:lang w:val="en-US" w:eastAsia="zh-CN"/>
              </w:rPr>
              <w:t>2 (7.14)</w:t>
            </w:r>
          </w:p>
        </w:tc>
      </w:tr>
    </w:tbl>
    <w:p w14:paraId="55A05353">
      <w:bookmarkStart w:id="12" w:name="_GoBack"/>
      <w:bookmarkEnd w:id="12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1ef757c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1ef757c0 + 2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minion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1ef757c0 + f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hMzA4YTdkMGM4YzBkMDE1MzE1MWYzMzRjYjljYmUifQ=="/>
  </w:docVars>
  <w:rsids>
    <w:rsidRoot w:val="00000000"/>
    <w:rsid w:val="478E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unhideWhenUsed/>
    <w:qFormat/>
    <w:uiPriority w:val="99"/>
    <w:pPr>
      <w:widowControl w:val="0"/>
      <w:spacing w:after="120"/>
      <w:ind w:left="420" w:left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Body Text First Indent 2"/>
    <w:unhideWhenUsed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Theme="minorHAnsi" w:hAnsiTheme="minorHAnsi" w:eastAsiaTheme="minorEastAsia" w:cstheme="minorBidi"/>
      <w:kern w:val="2"/>
      <w:sz w:val="20"/>
      <w:szCs w:val="24"/>
      <w:lang w:val="en-US" w:eastAsia="zh-CN" w:bidi="ar-SA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2024-10-30T00:29:19Z</dcterms:created>
  <dc:creator>Administrator</dc:creator>
  <cp:lastModifiedBy>晏和贵</cp:lastModifiedBy>
  <dcterms:modified xsi:type="dcterms:W3CDTF">2024-10-30T00:31:12Z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C4624385EEDA4A9DBC036DE564396FC8_12</vt:lpwstr>
  </property>
</Properties>
</file>