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F67" w:rsidRDefault="00223858">
      <w:pPr>
        <w:pStyle w:val="maintitle"/>
      </w:pPr>
      <w:bookmarkStart w:id="0" w:name="_GoBack"/>
      <w:bookmarkEnd w:id="0"/>
      <w:r>
        <w:t>Supplementary Material for</w:t>
      </w:r>
    </w:p>
    <w:p w:rsidR="00EF1F67" w:rsidRDefault="00223858">
      <w:pPr>
        <w:pStyle w:val="maintitle"/>
      </w:pPr>
      <w:r>
        <w:t>Proteome-wide assessment of 10,000 plasma proteins with age-related diseases and multi-morbidity in a Chinese population</w:t>
      </w:r>
    </w:p>
    <w:p w:rsidR="00EF1F67" w:rsidRDefault="00223858">
      <w:pPr>
        <w:pStyle w:val="authors"/>
      </w:pPr>
      <w:r>
        <w:t>Derrick A. Bennett, Neil Wright, Pang Yao, et al.</w:t>
      </w:r>
    </w:p>
    <w:p w:rsidR="00223858" w:rsidRDefault="00223858">
      <w:pPr>
        <w:pStyle w:val="TOC1"/>
        <w:tabs>
          <w:tab w:val="right" w:leader="dot" w:pos="10456"/>
        </w:tabs>
        <w:rPr>
          <w:noProof/>
        </w:rPr>
      </w:pPr>
      <w:r>
        <w:fldChar w:fldCharType="begin"/>
      </w:r>
      <w:r>
        <w:instrText>TOC \o "1-3" \h \z \u</w:instrText>
      </w:r>
      <w:r>
        <w:fldChar w:fldCharType="separate"/>
      </w:r>
      <w:hyperlink w:anchor="_Toc180578509" w:history="1">
        <w:r w:rsidRPr="007C1A46">
          <w:rPr>
            <w:rStyle w:val="Hyperlink"/>
            <w:noProof/>
          </w:rPr>
          <w:t>Table S1: ICD-10 codes, number of participants and number of incident cases for specific disease endpoints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_Toc180578509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223858" w:rsidRDefault="00223858">
      <w:pPr>
        <w:pStyle w:val="TOC1"/>
        <w:tabs>
          <w:tab w:val="right" w:leader="dot" w:pos="10456"/>
        </w:tabs>
        <w:rPr>
          <w:noProof/>
        </w:rPr>
      </w:pPr>
      <w:hyperlink w:anchor="_Toc180578510" w:history="1">
        <w:r w:rsidRPr="007C1A46">
          <w:rPr>
            <w:rStyle w:val="Hyperlink"/>
            <w:noProof/>
          </w:rPr>
          <w:t>Table S2: Selected baseline characteristics for participants in the proteomics sub-cohort and the whole CKB study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_Toc180578510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223858" w:rsidRDefault="00223858">
      <w:pPr>
        <w:pStyle w:val="TOC1"/>
        <w:tabs>
          <w:tab w:val="right" w:leader="dot" w:pos="10456"/>
        </w:tabs>
        <w:rPr>
          <w:noProof/>
        </w:rPr>
      </w:pPr>
      <w:hyperlink w:anchor="_Toc180578511" w:history="1">
        <w:r w:rsidRPr="007C1A46">
          <w:rPr>
            <w:rStyle w:val="Hyperlink"/>
            <w:noProof/>
          </w:rPr>
          <w:t>Table S3: Number of proteins significantly associated (FDR-adjusted p&lt;0.05) with incident risk of specific diseases with different adjustments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_Toc180578511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223858" w:rsidRDefault="00223858">
      <w:pPr>
        <w:pStyle w:val="TOC1"/>
        <w:tabs>
          <w:tab w:val="right" w:leader="dot" w:pos="10456"/>
        </w:tabs>
        <w:rPr>
          <w:noProof/>
        </w:rPr>
      </w:pPr>
      <w:hyperlink w:anchor="_Toc180578512" w:history="1">
        <w:r w:rsidRPr="007C1A46">
          <w:rPr>
            <w:rStyle w:val="Hyperlink"/>
            <w:noProof/>
          </w:rPr>
          <w:t>Figure S1: Volcano plots of adjusted HRs for any disease event and all-cause mortality associated with Olink and SomaScan (no ANML) proteins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_Toc180578512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223858" w:rsidRDefault="00223858">
      <w:pPr>
        <w:pStyle w:val="TOC1"/>
        <w:tabs>
          <w:tab w:val="right" w:leader="dot" w:pos="10456"/>
        </w:tabs>
        <w:rPr>
          <w:noProof/>
        </w:rPr>
      </w:pPr>
      <w:hyperlink w:anchor="_Toc180578513" w:history="1">
        <w:r w:rsidRPr="007C1A46">
          <w:rPr>
            <w:rStyle w:val="Hyperlink"/>
            <w:noProof/>
          </w:rPr>
          <w:t>Figure S2: Volcano plots of adjusted HRs for chronic kidney disease, chronic liver disease, ischaemic heart disease and all cancer associated with Olink and SomaScan (no ANML) proteins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_Toc180578513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223858" w:rsidRDefault="00223858">
      <w:pPr>
        <w:pStyle w:val="TOC1"/>
        <w:tabs>
          <w:tab w:val="right" w:leader="dot" w:pos="10456"/>
        </w:tabs>
        <w:rPr>
          <w:noProof/>
        </w:rPr>
      </w:pPr>
      <w:hyperlink w:anchor="_Toc180578514" w:history="1">
        <w:r w:rsidRPr="007C1A46">
          <w:rPr>
            <w:rStyle w:val="Hyperlink"/>
            <w:noProof/>
          </w:rPr>
          <w:t>Figure S3: Volcano plots of adjusted HRs for diabetes, all stroke, respiratory diseases and infectious and parasitic diseases associated with Olink and SomaScan proteins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_Toc180578514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223858" w:rsidRDefault="00223858">
      <w:pPr>
        <w:pStyle w:val="TOC1"/>
        <w:tabs>
          <w:tab w:val="right" w:leader="dot" w:pos="10456"/>
        </w:tabs>
        <w:rPr>
          <w:noProof/>
        </w:rPr>
      </w:pPr>
      <w:hyperlink w:anchor="_Toc180578515" w:history="1">
        <w:r w:rsidRPr="007C1A46">
          <w:rPr>
            <w:rStyle w:val="Hyperlink"/>
            <w:noProof/>
          </w:rPr>
          <w:t>Figure S4: Volcano plots of adjusted HRs for diabetes, all stroke, respiratory diseases and infectious and parasitic diseases associated with Olink and SomaScan (no ANML) proteins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_Toc180578515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223858" w:rsidRDefault="00223858">
      <w:pPr>
        <w:pStyle w:val="TOC1"/>
        <w:tabs>
          <w:tab w:val="right" w:leader="dot" w:pos="10456"/>
        </w:tabs>
        <w:rPr>
          <w:noProof/>
        </w:rPr>
      </w:pPr>
      <w:hyperlink w:anchor="_Toc180578516" w:history="1">
        <w:r w:rsidRPr="007C1A46">
          <w:rPr>
            <w:rStyle w:val="Hyperlink"/>
            <w:noProof/>
          </w:rPr>
          <w:t>Figure S5: Heat map showing the numbers of proteins associated with pairs of disease endpoints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_Toc180578516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223858" w:rsidRDefault="00223858">
      <w:pPr>
        <w:pStyle w:val="TOC1"/>
        <w:tabs>
          <w:tab w:val="right" w:leader="dot" w:pos="10456"/>
        </w:tabs>
        <w:rPr>
          <w:noProof/>
        </w:rPr>
      </w:pPr>
      <w:hyperlink w:anchor="_Toc180578517" w:history="1">
        <w:r w:rsidRPr="007C1A46">
          <w:rPr>
            <w:rStyle w:val="Hyperlink"/>
            <w:noProof/>
          </w:rPr>
          <w:t>Figure S6: Top 40 proteins most strongly associated with two or more disease endpoints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_Toc180578517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223858" w:rsidRDefault="00223858">
      <w:pPr>
        <w:pStyle w:val="TOC1"/>
        <w:tabs>
          <w:tab w:val="right" w:leader="dot" w:pos="10456"/>
        </w:tabs>
        <w:rPr>
          <w:noProof/>
        </w:rPr>
      </w:pPr>
      <w:hyperlink w:anchor="_Toc180578518" w:history="1">
        <w:r w:rsidRPr="007C1A46">
          <w:rPr>
            <w:rStyle w:val="Hyperlink"/>
            <w:noProof/>
          </w:rPr>
          <w:t>Figure S7: Performance of risk prediction models using conventional risk factors and proteins, assessed by (A) C-statistics and Net Reclassification Index and (B) Cumulative incidence of mortality by age-adjusted predicted risk for all-cause mortality, with use of non-normalised SomaScan proteins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_Toc180578518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223858" w:rsidRDefault="00223858">
      <w:pPr>
        <w:pStyle w:val="TOC1"/>
        <w:tabs>
          <w:tab w:val="right" w:leader="dot" w:pos="10456"/>
        </w:tabs>
        <w:rPr>
          <w:noProof/>
        </w:rPr>
      </w:pPr>
      <w:hyperlink w:anchor="_Toc180578519" w:history="1">
        <w:r w:rsidRPr="007C1A46">
          <w:rPr>
            <w:rStyle w:val="Hyperlink"/>
            <w:noProof/>
          </w:rPr>
          <w:t>Figure S8: Calibration of mortality risk prediction models using conventional risk factors and Olink and/or SomaScan proteins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_Toc180578519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223858" w:rsidRDefault="00223858">
      <w:pPr>
        <w:pStyle w:val="TOC1"/>
        <w:tabs>
          <w:tab w:val="right" w:leader="dot" w:pos="10456"/>
        </w:tabs>
        <w:rPr>
          <w:noProof/>
        </w:rPr>
      </w:pPr>
      <w:hyperlink w:anchor="_Toc180578520" w:history="1">
        <w:r w:rsidRPr="007C1A46">
          <w:rPr>
            <w:rStyle w:val="Hyperlink"/>
            <w:noProof/>
          </w:rPr>
          <w:t>Figure S9: Calibration of mortality risk prediction models using conventional risk factors and proteins measured by both Olink and SomaScan platforms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_Toc180578520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223858" w:rsidRDefault="00223858">
      <w:pPr>
        <w:pStyle w:val="TOC1"/>
        <w:tabs>
          <w:tab w:val="right" w:leader="dot" w:pos="10456"/>
        </w:tabs>
        <w:rPr>
          <w:noProof/>
        </w:rPr>
      </w:pPr>
      <w:hyperlink w:anchor="_Toc180578521" w:history="1">
        <w:r w:rsidRPr="007C1A46">
          <w:rPr>
            <w:rStyle w:val="Hyperlink"/>
            <w:noProof/>
          </w:rPr>
          <w:t>Figure S10: Weights of top 40 proteins in risk prediction model of conventional risk factors plus Olink and SomaScan proteins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_Toc180578521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223858" w:rsidRDefault="00223858">
      <w:pPr>
        <w:pStyle w:val="TOC1"/>
        <w:tabs>
          <w:tab w:val="right" w:leader="dot" w:pos="10456"/>
        </w:tabs>
        <w:rPr>
          <w:noProof/>
        </w:rPr>
      </w:pPr>
      <w:hyperlink w:anchor="_Toc180578522" w:history="1">
        <w:r w:rsidRPr="007C1A46">
          <w:rPr>
            <w:rStyle w:val="Hyperlink"/>
            <w:noProof/>
          </w:rPr>
          <w:t>Figure S11: Weights of top 40 proteins in risk prediction model of conventional risk factors plus proteins measured by both Olink and SomaScan platforms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_Toc180578522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EF1F67" w:rsidRDefault="00223858">
      <w:r>
        <w:fldChar w:fldCharType="end"/>
      </w:r>
    </w:p>
    <w:p w:rsidR="00EF1F67" w:rsidRDefault="00223858">
      <w:pPr>
        <w:pStyle w:val="Heading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line="240" w:lineRule="auto"/>
        <w:ind w:left="120" w:right="120"/>
      </w:pPr>
      <w:bookmarkStart w:id="1" w:name="_Toc180578509"/>
      <w:r>
        <w:lastRenderedPageBreak/>
        <w:t>Table S1: ICD-10 codes, number of participants and number of incident cases for specific disease endpoints</w:t>
      </w:r>
      <w:bookmarkEnd w:id="1"/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061"/>
        <w:gridCol w:w="1701"/>
        <w:gridCol w:w="1134"/>
        <w:gridCol w:w="1587"/>
        <w:gridCol w:w="1134"/>
        <w:gridCol w:w="1587"/>
      </w:tblGrid>
      <w:tr w:rsidR="00EF1F67">
        <w:trPr>
          <w:tblHeader/>
          <w:jc w:val="center"/>
        </w:trPr>
        <w:tc>
          <w:tcPr>
            <w:tcW w:w="4762" w:type="dxa"/>
            <w:gridSpan w:val="2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EF1F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</w:p>
        </w:tc>
        <w:tc>
          <w:tcPr>
            <w:tcW w:w="5442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single" w:sz="8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b/>
                <w:color w:val="000000"/>
                <w:szCs w:val="18"/>
              </w:rPr>
              <w:t>Number of participants</w:t>
            </w:r>
          </w:p>
        </w:tc>
      </w:tr>
      <w:tr w:rsidR="00EF1F67">
        <w:trPr>
          <w:tblHeader/>
          <w:jc w:val="center"/>
        </w:trPr>
        <w:tc>
          <w:tcPr>
            <w:tcW w:w="4762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EF1F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</w:p>
        </w:tc>
        <w:tc>
          <w:tcPr>
            <w:tcW w:w="2721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single" w:sz="8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b/>
                <w:color w:val="000000"/>
                <w:szCs w:val="18"/>
              </w:rPr>
              <w:t>Olink</w:t>
            </w:r>
          </w:p>
        </w:tc>
        <w:tc>
          <w:tcPr>
            <w:tcW w:w="2721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single" w:sz="8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b/>
                <w:color w:val="000000"/>
                <w:szCs w:val="18"/>
              </w:rPr>
              <w:t>SomaScan</w:t>
            </w:r>
          </w:p>
        </w:tc>
      </w:tr>
      <w:tr w:rsidR="00EF1F67">
        <w:trPr>
          <w:tblHeader/>
          <w:jc w:val="center"/>
        </w:trPr>
        <w:tc>
          <w:tcPr>
            <w:tcW w:w="3061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b/>
                <w:color w:val="000000"/>
                <w:szCs w:val="18"/>
              </w:rPr>
              <w:t>Disease</w:t>
            </w:r>
          </w:p>
        </w:tc>
        <w:tc>
          <w:tcPr>
            <w:tcW w:w="1701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b/>
                <w:color w:val="000000"/>
                <w:szCs w:val="18"/>
              </w:rPr>
              <w:t>ICD-10</w:t>
            </w:r>
          </w:p>
        </w:tc>
        <w:tc>
          <w:tcPr>
            <w:tcW w:w="113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b/>
                <w:color w:val="000000"/>
                <w:szCs w:val="18"/>
              </w:rPr>
              <w:t>Total</w:t>
            </w:r>
          </w:p>
        </w:tc>
        <w:tc>
          <w:tcPr>
            <w:tcW w:w="1587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b/>
                <w:color w:val="000000"/>
                <w:szCs w:val="18"/>
              </w:rPr>
              <w:t>Incident disease</w:t>
            </w:r>
          </w:p>
        </w:tc>
        <w:tc>
          <w:tcPr>
            <w:tcW w:w="1134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b/>
                <w:color w:val="000000"/>
                <w:szCs w:val="18"/>
              </w:rPr>
              <w:t>Total</w:t>
            </w:r>
          </w:p>
        </w:tc>
        <w:tc>
          <w:tcPr>
            <w:tcW w:w="1587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b/>
                <w:color w:val="000000"/>
                <w:szCs w:val="18"/>
              </w:rPr>
              <w:t>Incident disease</w:t>
            </w:r>
          </w:p>
        </w:tc>
      </w:tr>
      <w:tr w:rsidR="00EF1F67">
        <w:trPr>
          <w:jc w:val="center"/>
        </w:trPr>
        <w:tc>
          <w:tcPr>
            <w:tcW w:w="306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All-cause mortality</w:t>
            </w:r>
          </w:p>
        </w:tc>
        <w:tc>
          <w:tcPr>
            <w:tcW w:w="17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EF1F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</w:pPr>
          </w:p>
        </w:tc>
        <w:tc>
          <w:tcPr>
            <w:tcW w:w="113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2,026</w:t>
            </w:r>
          </w:p>
        </w:tc>
        <w:tc>
          <w:tcPr>
            <w:tcW w:w="1587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182</w:t>
            </w:r>
          </w:p>
        </w:tc>
        <w:tc>
          <w:tcPr>
            <w:tcW w:w="1134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2,018</w:t>
            </w:r>
          </w:p>
        </w:tc>
        <w:tc>
          <w:tcPr>
            <w:tcW w:w="1587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182</w:t>
            </w:r>
          </w:p>
        </w:tc>
      </w:tr>
      <w:tr w:rsidR="00EF1F67">
        <w:trPr>
          <w:jc w:val="center"/>
        </w:trPr>
        <w:tc>
          <w:tcPr>
            <w:tcW w:w="3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Chronic kidney disease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E10.2, E11.2, E12.2, E13.2, E14.2, I12.0, I12.9, I13.0-I13.2, I13.9, M10.3, M32.1, N02-N05, N08.3, N11-N13, N15, N18-19, N25-N26, N27.1, N27.9, O10.2, O10.3, R94.4, T86.1, Z94.0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2,000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36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1,992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36</w:t>
            </w:r>
          </w:p>
        </w:tc>
      </w:tr>
      <w:tr w:rsidR="00EF1F67">
        <w:trPr>
          <w:jc w:val="center"/>
        </w:trPr>
        <w:tc>
          <w:tcPr>
            <w:tcW w:w="3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Chronic liver disease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B18-B19, B25.1, B58.1, B94.2, K72-K77, Z22.5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2,026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22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2,018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22</w:t>
            </w:r>
          </w:p>
        </w:tc>
      </w:tr>
      <w:tr w:rsidR="00EF1F67">
        <w:trPr>
          <w:jc w:val="center"/>
        </w:trPr>
        <w:tc>
          <w:tcPr>
            <w:tcW w:w="3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Ischaemic heart disease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I20-I25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2,026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212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2,018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211</w:t>
            </w:r>
          </w:p>
        </w:tc>
      </w:tr>
      <w:tr w:rsidR="00EF1F67">
        <w:trPr>
          <w:jc w:val="center"/>
        </w:trPr>
        <w:tc>
          <w:tcPr>
            <w:tcW w:w="3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All cancer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C00-C97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2,013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118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2,005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118</w:t>
            </w:r>
          </w:p>
        </w:tc>
      </w:tr>
      <w:tr w:rsidR="00EF1F67">
        <w:trPr>
          <w:jc w:val="center"/>
        </w:trPr>
        <w:tc>
          <w:tcPr>
            <w:tcW w:w="3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Diabetes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E10-E14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1,896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83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1,888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83</w:t>
            </w:r>
          </w:p>
        </w:tc>
      </w:tr>
      <w:tr w:rsidR="00EF1F67">
        <w:trPr>
          <w:jc w:val="center"/>
        </w:trPr>
        <w:tc>
          <w:tcPr>
            <w:tcW w:w="3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All stroke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I60-I61, I63-I64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2,026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226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2,018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226</w:t>
            </w:r>
          </w:p>
        </w:tc>
      </w:tr>
      <w:tr w:rsidR="00EF1F67">
        <w:trPr>
          <w:jc w:val="center"/>
        </w:trPr>
        <w:tc>
          <w:tcPr>
            <w:tcW w:w="3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Ischaemic stroke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I63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2,026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206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2,018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206</w:t>
            </w:r>
          </w:p>
        </w:tc>
      </w:tr>
      <w:tr w:rsidR="00EF1F67">
        <w:trPr>
          <w:jc w:val="center"/>
        </w:trPr>
        <w:tc>
          <w:tcPr>
            <w:tcW w:w="3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Respiratory diseases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J00-J99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1,859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218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1,851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216</w:t>
            </w:r>
          </w:p>
        </w:tc>
      </w:tr>
      <w:tr w:rsidR="00EF1F67">
        <w:trPr>
          <w:jc w:val="center"/>
        </w:trPr>
        <w:tc>
          <w:tcPr>
            <w:tcW w:w="3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Pneumonia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J12-J18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1,859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105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1,851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105</w:t>
            </w:r>
          </w:p>
        </w:tc>
      </w:tr>
      <w:tr w:rsidR="00EF1F67">
        <w:trPr>
          <w:jc w:val="center"/>
        </w:trPr>
        <w:tc>
          <w:tcPr>
            <w:tcW w:w="3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Chronic lower respiratory disease + Pulmonary heart disease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J40-J44, I26-I27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1,859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59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1,851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59</w:t>
            </w:r>
          </w:p>
        </w:tc>
      </w:tr>
      <w:tr w:rsidR="00EF1F67">
        <w:trPr>
          <w:jc w:val="center"/>
        </w:trPr>
        <w:tc>
          <w:tcPr>
            <w:tcW w:w="30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Broader chronic respiratory disease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A15-A16, G47.3, I27.8, J40, J42-J45, J47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1,859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70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1,851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70</w:t>
            </w:r>
          </w:p>
        </w:tc>
      </w:tr>
      <w:tr w:rsidR="00EF1F67">
        <w:trPr>
          <w:jc w:val="center"/>
        </w:trPr>
        <w:tc>
          <w:tcPr>
            <w:tcW w:w="306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Infectious and parasitic diseases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A00-B99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2,003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63</w:t>
            </w: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1,995</w:t>
            </w:r>
          </w:p>
        </w:tc>
        <w:tc>
          <w:tcPr>
            <w:tcW w:w="1587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62</w:t>
            </w:r>
          </w:p>
        </w:tc>
      </w:tr>
    </w:tbl>
    <w:p w:rsidR="00EF1F67" w:rsidRDefault="00223858">
      <w:pPr>
        <w:pStyle w:val="Heading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line="240" w:lineRule="auto"/>
        <w:ind w:left="1820" w:right="1820"/>
      </w:pPr>
      <w:bookmarkStart w:id="2" w:name="_Toc180578510"/>
      <w:r>
        <w:lastRenderedPageBreak/>
        <w:t>Table S2: Selected baseline characteristics for participants in the proteomics sub-cohort and the whole CKB study</w:t>
      </w:r>
      <w:bookmarkEnd w:id="2"/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3402"/>
        <w:gridCol w:w="1701"/>
        <w:gridCol w:w="1701"/>
      </w:tblGrid>
      <w:tr w:rsidR="00EF1F67">
        <w:trPr>
          <w:tblHeader/>
          <w:jc w:val="center"/>
        </w:trPr>
        <w:tc>
          <w:tcPr>
            <w:tcW w:w="3402" w:type="dxa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b/>
                <w:color w:val="000000"/>
                <w:szCs w:val="18"/>
              </w:rPr>
              <w:t>Mean (SD) or n (%)</w:t>
            </w:r>
          </w:p>
        </w:tc>
        <w:tc>
          <w:tcPr>
            <w:tcW w:w="1701" w:type="dxa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b/>
                <w:color w:val="000000"/>
                <w:szCs w:val="18"/>
              </w:rPr>
              <w:t>Sub-cohort</w:t>
            </w:r>
            <w:r>
              <w:rPr>
                <w:rFonts w:eastAsia="Arial" w:cs="Arial"/>
                <w:b/>
                <w:color w:val="000000"/>
                <w:szCs w:val="18"/>
              </w:rPr>
              <w:br/>
              <w:t>(n=2026)</w:t>
            </w:r>
          </w:p>
        </w:tc>
        <w:tc>
          <w:tcPr>
            <w:tcW w:w="1701" w:type="dxa"/>
            <w:tcBorders>
              <w:top w:val="single" w:sz="8" w:space="0" w:color="000000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b/>
                <w:color w:val="000000"/>
                <w:szCs w:val="18"/>
              </w:rPr>
              <w:t>CKB study</w:t>
            </w:r>
            <w:r>
              <w:rPr>
                <w:rFonts w:eastAsia="Arial" w:cs="Arial"/>
                <w:b/>
                <w:color w:val="000000"/>
                <w:szCs w:val="18"/>
              </w:rPr>
              <w:br/>
              <w:t>(n=512,724)</w:t>
            </w:r>
          </w:p>
        </w:tc>
      </w:tr>
      <w:tr w:rsidR="00EF1F67">
        <w:trPr>
          <w:jc w:val="center"/>
        </w:trPr>
        <w:tc>
          <w:tcPr>
            <w:tcW w:w="340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Age at baseline, years</w:t>
            </w:r>
          </w:p>
        </w:tc>
        <w:tc>
          <w:tcPr>
            <w:tcW w:w="17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51.3 (10.5)</w:t>
            </w:r>
          </w:p>
        </w:tc>
        <w:tc>
          <w:tcPr>
            <w:tcW w:w="170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52.0 (10.7)</w:t>
            </w:r>
          </w:p>
        </w:tc>
      </w:tr>
      <w:tr w:rsidR="00EF1F67">
        <w:trPr>
          <w:jc w:val="center"/>
        </w:trPr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Sex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EF1F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EF1F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</w:p>
        </w:tc>
      </w:tr>
      <w:tr w:rsidR="00EF1F67">
        <w:trPr>
          <w:jc w:val="center"/>
        </w:trPr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240" w:right="80"/>
            </w:pPr>
            <w:r>
              <w:rPr>
                <w:rFonts w:eastAsia="Arial" w:cs="Arial"/>
                <w:color w:val="000000"/>
                <w:szCs w:val="18"/>
              </w:rPr>
              <w:t>Male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768 (37.9)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210,205 (41.0)</w:t>
            </w:r>
          </w:p>
        </w:tc>
      </w:tr>
      <w:tr w:rsidR="00EF1F67">
        <w:trPr>
          <w:jc w:val="center"/>
        </w:trPr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240" w:right="80"/>
            </w:pPr>
            <w:r>
              <w:rPr>
                <w:rFonts w:eastAsia="Arial" w:cs="Arial"/>
                <w:color w:val="000000"/>
                <w:szCs w:val="18"/>
              </w:rPr>
              <w:t>Female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1,258 (62.1)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302,519 (59.0)</w:t>
            </w:r>
          </w:p>
        </w:tc>
      </w:tr>
      <w:tr w:rsidR="00EF1F67">
        <w:trPr>
          <w:jc w:val="center"/>
        </w:trPr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Education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EF1F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EF1F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</w:p>
        </w:tc>
      </w:tr>
      <w:tr w:rsidR="00EF1F67">
        <w:trPr>
          <w:jc w:val="center"/>
        </w:trPr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240" w:right="80"/>
            </w:pPr>
            <w:r>
              <w:rPr>
                <w:rFonts w:eastAsia="Arial" w:cs="Arial"/>
                <w:color w:val="000000"/>
                <w:szCs w:val="18"/>
              </w:rPr>
              <w:t>No formal school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333 (16.4)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95,179 (18.6)</w:t>
            </w:r>
          </w:p>
        </w:tc>
      </w:tr>
      <w:tr w:rsidR="00EF1F67">
        <w:trPr>
          <w:jc w:val="center"/>
        </w:trPr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240" w:right="80"/>
            </w:pPr>
            <w:r>
              <w:rPr>
                <w:rFonts w:eastAsia="Arial" w:cs="Arial"/>
                <w:color w:val="000000"/>
                <w:szCs w:val="18"/>
              </w:rPr>
              <w:t>Primary school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637 (31.4)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165,186 (32.2)</w:t>
            </w:r>
          </w:p>
        </w:tc>
      </w:tr>
      <w:tr w:rsidR="00EF1F67">
        <w:trPr>
          <w:jc w:val="center"/>
        </w:trPr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240" w:right="80"/>
            </w:pPr>
            <w:r>
              <w:rPr>
                <w:rFonts w:eastAsia="Arial" w:cs="Arial"/>
                <w:color w:val="000000"/>
                <w:szCs w:val="18"/>
              </w:rPr>
              <w:t>Middle school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594 (29.3)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144,873 (28.3)</w:t>
            </w:r>
          </w:p>
        </w:tc>
      </w:tr>
      <w:tr w:rsidR="00EF1F67">
        <w:trPr>
          <w:jc w:val="center"/>
        </w:trPr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240" w:right="80"/>
            </w:pPr>
            <w:r>
              <w:rPr>
                <w:rFonts w:eastAsia="Arial" w:cs="Arial"/>
                <w:color w:val="000000"/>
                <w:szCs w:val="18"/>
              </w:rPr>
              <w:t>High school or higher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462 (22.8)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107,486 (21.0)</w:t>
            </w:r>
          </w:p>
        </w:tc>
      </w:tr>
      <w:tr w:rsidR="00EF1F67">
        <w:trPr>
          <w:jc w:val="center"/>
        </w:trPr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Smoking (men)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EF1F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EF1F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</w:p>
        </w:tc>
      </w:tr>
      <w:tr w:rsidR="00EF1F67">
        <w:trPr>
          <w:jc w:val="center"/>
        </w:trPr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240" w:right="80"/>
            </w:pPr>
            <w:r>
              <w:rPr>
                <w:rFonts w:eastAsia="Arial" w:cs="Arial"/>
                <w:color w:val="000000"/>
                <w:szCs w:val="18"/>
              </w:rPr>
              <w:t>Never / occasional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193 (25.1)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53,917 (25.6)</w:t>
            </w:r>
          </w:p>
        </w:tc>
      </w:tr>
      <w:tr w:rsidR="00EF1F67">
        <w:trPr>
          <w:jc w:val="center"/>
        </w:trPr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240" w:right="80"/>
            </w:pPr>
            <w:r>
              <w:rPr>
                <w:rFonts w:eastAsia="Arial" w:cs="Arial"/>
                <w:color w:val="000000"/>
                <w:szCs w:val="18"/>
              </w:rPr>
              <w:t>Ex regular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90 (11.7)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27,917 (13.3)</w:t>
            </w:r>
          </w:p>
        </w:tc>
      </w:tr>
      <w:tr w:rsidR="00EF1F67">
        <w:trPr>
          <w:jc w:val="center"/>
        </w:trPr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240" w:right="80"/>
            </w:pPr>
            <w:r>
              <w:rPr>
                <w:rFonts w:eastAsia="Arial" w:cs="Arial"/>
                <w:color w:val="000000"/>
                <w:szCs w:val="18"/>
              </w:rPr>
              <w:t>Current smoker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485 (63.2)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128,371 (61.1)</w:t>
            </w:r>
          </w:p>
        </w:tc>
      </w:tr>
      <w:tr w:rsidR="00EF1F67">
        <w:trPr>
          <w:jc w:val="center"/>
        </w:trPr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Alcohol drinking (men)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EF1F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EF1F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</w:p>
        </w:tc>
      </w:tr>
      <w:tr w:rsidR="00EF1F67">
        <w:trPr>
          <w:jc w:val="center"/>
        </w:trPr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240" w:right="80"/>
            </w:pPr>
            <w:r>
              <w:rPr>
                <w:rFonts w:eastAsia="Arial" w:cs="Arial"/>
                <w:color w:val="000000"/>
                <w:szCs w:val="18"/>
              </w:rPr>
              <w:t>Never regular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141 (18.4)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42,779 (20.4)</w:t>
            </w:r>
          </w:p>
        </w:tc>
      </w:tr>
      <w:tr w:rsidR="00EF1F67">
        <w:trPr>
          <w:jc w:val="center"/>
        </w:trPr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240" w:right="80"/>
            </w:pPr>
            <w:r>
              <w:rPr>
                <w:rFonts w:eastAsia="Arial" w:cs="Arial"/>
                <w:color w:val="000000"/>
                <w:szCs w:val="18"/>
              </w:rPr>
              <w:t>Occasional / monthly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285 (37.1)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79,231 (37.7)</w:t>
            </w:r>
          </w:p>
        </w:tc>
      </w:tr>
      <w:tr w:rsidR="00EF1F67">
        <w:trPr>
          <w:jc w:val="center"/>
        </w:trPr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240" w:right="80"/>
            </w:pPr>
            <w:r>
              <w:rPr>
                <w:rFonts w:eastAsia="Arial" w:cs="Arial"/>
                <w:color w:val="000000"/>
                <w:szCs w:val="18"/>
              </w:rPr>
              <w:t>Weekly / reduced / ex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342 (44.5)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88,195 (42.0)</w:t>
            </w:r>
          </w:p>
        </w:tc>
      </w:tr>
      <w:tr w:rsidR="00EF1F67">
        <w:trPr>
          <w:jc w:val="center"/>
        </w:trPr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Total physical activity, MET-hours/day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21.3 (14.5)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21.1 (13.9)</w:t>
            </w:r>
          </w:p>
        </w:tc>
      </w:tr>
      <w:tr w:rsidR="00EF1F67">
        <w:trPr>
          <w:jc w:val="center"/>
        </w:trPr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BMI, kg/m²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23.9 (3.4)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23.7 (3.4)</w:t>
            </w:r>
          </w:p>
        </w:tc>
      </w:tr>
      <w:tr w:rsidR="00EF1F67">
        <w:trPr>
          <w:jc w:val="center"/>
        </w:trPr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SBP, mmHg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130.6 (21.5)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131.1 (21.3)</w:t>
            </w:r>
          </w:p>
        </w:tc>
      </w:tr>
      <w:tr w:rsidR="00EF1F67">
        <w:trPr>
          <w:jc w:val="center"/>
        </w:trPr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Time since last ate, hours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5.1 (5.0)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4.9 (4.9)</w:t>
            </w:r>
          </w:p>
        </w:tc>
      </w:tr>
      <w:tr w:rsidR="00EF1F67">
        <w:trPr>
          <w:jc w:val="center"/>
        </w:trPr>
        <w:tc>
          <w:tcPr>
            <w:tcW w:w="3402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Ambient temperature, °C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16.0 (10.5)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16.1 (10.1)</w:t>
            </w:r>
          </w:p>
        </w:tc>
      </w:tr>
      <w:tr w:rsidR="00EF1F67">
        <w:trPr>
          <w:jc w:val="center"/>
        </w:trPr>
        <w:tc>
          <w:tcPr>
            <w:tcW w:w="6804" w:type="dxa"/>
            <w:gridSpan w:val="3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 w:val="16"/>
                <w:szCs w:val="16"/>
              </w:rPr>
              <w:t>MET = Metabolic equivalent of task; SBP = Systolic blood pressure; BMI = Body mass index.</w:t>
            </w:r>
          </w:p>
        </w:tc>
      </w:tr>
    </w:tbl>
    <w:p w:rsidR="00EF1F67" w:rsidRDefault="00EF1F67">
      <w:pPr>
        <w:sectPr w:rsidR="00EF1F67">
          <w:footerReference w:type="default" r:id="rId7"/>
          <w:type w:val="continuous"/>
          <w:pgSz w:w="11906" w:h="16838"/>
          <w:pgMar w:top="576" w:right="720" w:bottom="576" w:left="720" w:header="0" w:footer="360" w:gutter="0"/>
          <w:cols w:space="720"/>
        </w:sectPr>
      </w:pPr>
    </w:p>
    <w:p w:rsidR="00EF1F67" w:rsidRDefault="00223858">
      <w:pPr>
        <w:pStyle w:val="Heading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line="240" w:lineRule="auto"/>
        <w:ind w:left="600" w:right="600"/>
      </w:pPr>
      <w:bookmarkStart w:id="3" w:name="_Toc180578511"/>
      <w:r>
        <w:lastRenderedPageBreak/>
        <w:t>Table S3: Number of proteins significantly associated (FDR-adjusted p&lt;0.05) with incident risk of specific diseases with different adjustments</w:t>
      </w:r>
      <w:bookmarkEnd w:id="3"/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5669"/>
        <w:gridCol w:w="1417"/>
        <w:gridCol w:w="1417"/>
        <w:gridCol w:w="1417"/>
        <w:gridCol w:w="1417"/>
        <w:gridCol w:w="1417"/>
        <w:gridCol w:w="1417"/>
      </w:tblGrid>
      <w:tr w:rsidR="00EF1F67">
        <w:trPr>
          <w:tblHeader/>
          <w:jc w:val="center"/>
        </w:trPr>
        <w:tc>
          <w:tcPr>
            <w:tcW w:w="5669" w:type="dxa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EF1F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</w:p>
        </w:tc>
        <w:tc>
          <w:tcPr>
            <w:tcW w:w="8502" w:type="dxa"/>
            <w:gridSpan w:val="6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single" w:sz="8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b/>
                <w:color w:val="000000"/>
                <w:szCs w:val="18"/>
              </w:rPr>
              <w:t>Total (inverse) significant associations</w:t>
            </w:r>
          </w:p>
        </w:tc>
      </w:tr>
      <w:tr w:rsidR="00EF1F67">
        <w:trPr>
          <w:tblHeader/>
          <w:jc w:val="center"/>
        </w:trPr>
        <w:tc>
          <w:tcPr>
            <w:tcW w:w="8503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EF1F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</w:p>
        </w:tc>
        <w:tc>
          <w:tcPr>
            <w:tcW w:w="5668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single" w:sz="8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b/>
                <w:color w:val="000000"/>
                <w:szCs w:val="18"/>
              </w:rPr>
              <w:t>Further adjusted for</w:t>
            </w:r>
          </w:p>
        </w:tc>
      </w:tr>
      <w:tr w:rsidR="00EF1F67">
        <w:trPr>
          <w:tblHeader/>
          <w:jc w:val="center"/>
        </w:trPr>
        <w:tc>
          <w:tcPr>
            <w:tcW w:w="5669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b/>
                <w:color w:val="000000"/>
                <w:szCs w:val="18"/>
              </w:rPr>
              <w:t>Disease</w:t>
            </w:r>
          </w:p>
        </w:tc>
        <w:tc>
          <w:tcPr>
            <w:tcW w:w="1417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b/>
                <w:color w:val="000000"/>
                <w:szCs w:val="18"/>
              </w:rPr>
              <w:t>Minimally adjusted</w:t>
            </w:r>
            <w:r>
              <w:rPr>
                <w:rFonts w:eastAsia="Arial" w:cs="Arial"/>
                <w:b/>
                <w:color w:val="000000"/>
                <w:szCs w:val="18"/>
                <w:vertAlign w:val="superscript"/>
              </w:rPr>
              <w:t>*</w:t>
            </w:r>
          </w:p>
        </w:tc>
        <w:tc>
          <w:tcPr>
            <w:tcW w:w="1417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b/>
                <w:color w:val="000000"/>
                <w:szCs w:val="18"/>
              </w:rPr>
              <w:t>Adjusted for major lifestyle factors</w:t>
            </w:r>
            <w:r>
              <w:rPr>
                <w:rFonts w:eastAsia="Arial" w:cs="Arial"/>
                <w:b/>
                <w:color w:val="000000"/>
                <w:szCs w:val="18"/>
                <w:vertAlign w:val="superscript"/>
              </w:rPr>
              <w:t>†</w:t>
            </w:r>
          </w:p>
        </w:tc>
        <w:tc>
          <w:tcPr>
            <w:tcW w:w="1417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b/>
                <w:color w:val="000000"/>
                <w:szCs w:val="18"/>
              </w:rPr>
              <w:t>SBP</w:t>
            </w:r>
          </w:p>
        </w:tc>
        <w:tc>
          <w:tcPr>
            <w:tcW w:w="1417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b/>
                <w:color w:val="000000"/>
                <w:szCs w:val="18"/>
              </w:rPr>
              <w:t>Diabetes</w:t>
            </w:r>
          </w:p>
        </w:tc>
        <w:tc>
          <w:tcPr>
            <w:tcW w:w="1417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b/>
                <w:color w:val="000000"/>
                <w:szCs w:val="18"/>
              </w:rPr>
              <w:t>BMI</w:t>
            </w:r>
          </w:p>
        </w:tc>
        <w:tc>
          <w:tcPr>
            <w:tcW w:w="1417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b/>
                <w:color w:val="000000"/>
                <w:szCs w:val="18"/>
              </w:rPr>
              <w:t>SBP,</w:t>
            </w:r>
            <w:r>
              <w:rPr>
                <w:rFonts w:eastAsia="Arial" w:cs="Arial"/>
                <w:b/>
                <w:color w:val="000000"/>
                <w:szCs w:val="18"/>
              </w:rPr>
              <w:br/>
              <w:t>Diabetes</w:t>
            </w:r>
            <w:r>
              <w:rPr>
                <w:rFonts w:eastAsia="Arial" w:cs="Arial"/>
                <w:b/>
                <w:color w:val="000000"/>
                <w:szCs w:val="18"/>
              </w:rPr>
              <w:br/>
              <w:t>&amp; BMI</w:t>
            </w:r>
          </w:p>
        </w:tc>
      </w:tr>
      <w:tr w:rsidR="00EF1F67">
        <w:trPr>
          <w:jc w:val="center"/>
        </w:trPr>
        <w:tc>
          <w:tcPr>
            <w:tcW w:w="5669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</w:pPr>
            <w:r>
              <w:rPr>
                <w:rFonts w:eastAsia="Arial" w:cs="Arial"/>
                <w:b/>
                <w:color w:val="000000"/>
                <w:szCs w:val="18"/>
              </w:rPr>
              <w:t>Olink</w:t>
            </w:r>
          </w:p>
        </w:tc>
        <w:tc>
          <w:tcPr>
            <w:tcW w:w="1417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EF1F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</w:p>
        </w:tc>
        <w:tc>
          <w:tcPr>
            <w:tcW w:w="1417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EF1F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</w:p>
        </w:tc>
        <w:tc>
          <w:tcPr>
            <w:tcW w:w="1417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EF1F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</w:p>
        </w:tc>
        <w:tc>
          <w:tcPr>
            <w:tcW w:w="1417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EF1F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</w:p>
        </w:tc>
        <w:tc>
          <w:tcPr>
            <w:tcW w:w="1417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EF1F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</w:p>
        </w:tc>
        <w:tc>
          <w:tcPr>
            <w:tcW w:w="1417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EF1F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60" w:after="60" w:line="240" w:lineRule="auto"/>
              <w:ind w:left="80" w:right="80"/>
              <w:jc w:val="center"/>
            </w:pPr>
          </w:p>
        </w:tc>
      </w:tr>
      <w:tr w:rsidR="00EF1F67">
        <w:trPr>
          <w:jc w:val="center"/>
        </w:trPr>
        <w:tc>
          <w:tcPr>
            <w:tcW w:w="56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Any incident disease event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424 (2)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388 (2)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287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237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266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136 (1)</w:t>
            </w:r>
          </w:p>
        </w:tc>
      </w:tr>
      <w:tr w:rsidR="00EF1F67">
        <w:trPr>
          <w:jc w:val="center"/>
        </w:trPr>
        <w:tc>
          <w:tcPr>
            <w:tcW w:w="56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All-cause mortality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663 (28)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610 (30)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611 (32)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588 (42)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630 (26)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598 (35)</w:t>
            </w:r>
          </w:p>
        </w:tc>
      </w:tr>
      <w:tr w:rsidR="00EF1F67">
        <w:trPr>
          <w:jc w:val="center"/>
        </w:trPr>
        <w:tc>
          <w:tcPr>
            <w:tcW w:w="56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Chronic kidney disease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1041 (4)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938 (3)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847 (4)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840 (4)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926 (3)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797 (4)</w:t>
            </w:r>
          </w:p>
        </w:tc>
      </w:tr>
      <w:tr w:rsidR="00EF1F67">
        <w:trPr>
          <w:jc w:val="center"/>
        </w:trPr>
        <w:tc>
          <w:tcPr>
            <w:tcW w:w="56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Chronic liver disease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304 (7)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330 (7)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308 (7)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304 (10)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356 (8)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300 (10)</w:t>
            </w:r>
          </w:p>
        </w:tc>
      </w:tr>
      <w:tr w:rsidR="00EF1F67">
        <w:trPr>
          <w:jc w:val="center"/>
        </w:trPr>
        <w:tc>
          <w:tcPr>
            <w:tcW w:w="56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Ischaemic heart disease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256 (2)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256 (2)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186 (2)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249 (2)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227 (2)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178 (2)</w:t>
            </w:r>
          </w:p>
        </w:tc>
      </w:tr>
      <w:tr w:rsidR="00EF1F67">
        <w:trPr>
          <w:jc w:val="center"/>
        </w:trPr>
        <w:tc>
          <w:tcPr>
            <w:tcW w:w="56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All cancer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79 (5)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51 (4)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55 (4)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51 (4)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64 (6)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64 (6)</w:t>
            </w:r>
          </w:p>
        </w:tc>
      </w:tr>
      <w:tr w:rsidR="00EF1F67">
        <w:trPr>
          <w:jc w:val="center"/>
        </w:trPr>
        <w:tc>
          <w:tcPr>
            <w:tcW w:w="56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Diabetes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220 (49)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238 (55)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183 (45)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238 (55)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18 (7)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18 (7)</w:t>
            </w:r>
          </w:p>
        </w:tc>
      </w:tr>
      <w:tr w:rsidR="00EF1F67">
        <w:trPr>
          <w:jc w:val="center"/>
        </w:trPr>
        <w:tc>
          <w:tcPr>
            <w:tcW w:w="56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All stroke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0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0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0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0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0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0 (0)</w:t>
            </w:r>
          </w:p>
        </w:tc>
      </w:tr>
      <w:tr w:rsidR="00EF1F67">
        <w:trPr>
          <w:jc w:val="center"/>
        </w:trPr>
        <w:tc>
          <w:tcPr>
            <w:tcW w:w="56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240" w:right="80"/>
            </w:pPr>
            <w:r>
              <w:rPr>
                <w:rFonts w:eastAsia="Arial" w:cs="Arial"/>
                <w:color w:val="000000"/>
                <w:szCs w:val="18"/>
              </w:rPr>
              <w:t>Ischaemic stroke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0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0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0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0 (0)</w:t>
            </w:r>
          </w:p>
        </w:tc>
      </w:tr>
      <w:tr w:rsidR="00EF1F67">
        <w:trPr>
          <w:jc w:val="center"/>
        </w:trPr>
        <w:tc>
          <w:tcPr>
            <w:tcW w:w="56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Respiratory diseases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12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4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3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3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3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 (0)</w:t>
            </w:r>
          </w:p>
        </w:tc>
      </w:tr>
      <w:tr w:rsidR="00EF1F67">
        <w:trPr>
          <w:jc w:val="center"/>
        </w:trPr>
        <w:tc>
          <w:tcPr>
            <w:tcW w:w="56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240" w:right="80"/>
            </w:pPr>
            <w:r>
              <w:rPr>
                <w:rFonts w:eastAsia="Arial" w:cs="Arial"/>
                <w:color w:val="000000"/>
                <w:szCs w:val="18"/>
              </w:rPr>
              <w:t>Pneumonia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0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0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0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0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0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0 (0)</w:t>
            </w:r>
          </w:p>
        </w:tc>
      </w:tr>
      <w:tr w:rsidR="00EF1F67">
        <w:trPr>
          <w:jc w:val="center"/>
        </w:trPr>
        <w:tc>
          <w:tcPr>
            <w:tcW w:w="56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240" w:right="80"/>
            </w:pPr>
            <w:r>
              <w:rPr>
                <w:rFonts w:eastAsia="Arial" w:cs="Arial"/>
                <w:color w:val="000000"/>
                <w:szCs w:val="18"/>
              </w:rPr>
              <w:t>Chronic lower respiratory disease + Pulmonary heart disease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 (1)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3 (1)</w:t>
            </w:r>
          </w:p>
        </w:tc>
      </w:tr>
      <w:tr w:rsidR="00EF1F67">
        <w:trPr>
          <w:jc w:val="center"/>
        </w:trPr>
        <w:tc>
          <w:tcPr>
            <w:tcW w:w="56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240" w:right="80"/>
            </w:pPr>
            <w:r>
              <w:rPr>
                <w:rFonts w:eastAsia="Arial" w:cs="Arial"/>
                <w:color w:val="000000"/>
                <w:szCs w:val="18"/>
              </w:rPr>
              <w:t>Broader chronic respiratory disease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3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3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3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3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3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3 (0)</w:t>
            </w:r>
          </w:p>
        </w:tc>
      </w:tr>
      <w:tr w:rsidR="00EF1F67">
        <w:trPr>
          <w:jc w:val="center"/>
        </w:trPr>
        <w:tc>
          <w:tcPr>
            <w:tcW w:w="56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Infectious and parasitic diseases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0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0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0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0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0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0 (0)</w:t>
            </w:r>
          </w:p>
        </w:tc>
      </w:tr>
      <w:tr w:rsidR="00EF1F67">
        <w:trPr>
          <w:jc w:val="center"/>
        </w:trPr>
        <w:tc>
          <w:tcPr>
            <w:tcW w:w="56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60" w:line="240" w:lineRule="auto"/>
              <w:ind w:left="80" w:right="80"/>
            </w:pPr>
            <w:r>
              <w:rPr>
                <w:rFonts w:eastAsia="Arial" w:cs="Arial"/>
                <w:b/>
                <w:color w:val="000000"/>
                <w:szCs w:val="18"/>
              </w:rPr>
              <w:t>SomaScan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EF1F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60" w:line="240" w:lineRule="auto"/>
              <w:ind w:left="80" w:right="80"/>
              <w:jc w:val="center"/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EF1F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60" w:line="240" w:lineRule="auto"/>
              <w:ind w:left="80" w:right="80"/>
              <w:jc w:val="center"/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EF1F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60" w:line="240" w:lineRule="auto"/>
              <w:ind w:left="80" w:right="80"/>
              <w:jc w:val="center"/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EF1F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60" w:line="240" w:lineRule="auto"/>
              <w:ind w:left="80" w:right="80"/>
              <w:jc w:val="center"/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EF1F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60" w:line="240" w:lineRule="auto"/>
              <w:ind w:left="80" w:right="80"/>
              <w:jc w:val="center"/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EF1F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0" w:after="60" w:line="240" w:lineRule="auto"/>
              <w:ind w:left="80" w:right="80"/>
              <w:jc w:val="center"/>
            </w:pPr>
          </w:p>
        </w:tc>
      </w:tr>
      <w:tr w:rsidR="00EF1F67">
        <w:trPr>
          <w:jc w:val="center"/>
        </w:trPr>
        <w:tc>
          <w:tcPr>
            <w:tcW w:w="56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Any incident disease event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197 (28)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172 (26)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134 (11)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90 (6)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129 (5)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81 (5)</w:t>
            </w:r>
          </w:p>
        </w:tc>
      </w:tr>
      <w:tr w:rsidR="00EF1F67">
        <w:trPr>
          <w:jc w:val="center"/>
        </w:trPr>
        <w:tc>
          <w:tcPr>
            <w:tcW w:w="56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All-cause mortality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660 (172)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619 (153)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630 (160)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640 (181)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570 (124)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573 (147)</w:t>
            </w:r>
          </w:p>
        </w:tc>
      </w:tr>
      <w:tr w:rsidR="00EF1F67">
        <w:trPr>
          <w:jc w:val="center"/>
        </w:trPr>
        <w:tc>
          <w:tcPr>
            <w:tcW w:w="56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Chronic kidney disease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759 (213)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620 (159)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637 (188)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570 (142)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627 (166)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599 (171)</w:t>
            </w:r>
          </w:p>
        </w:tc>
      </w:tr>
      <w:tr w:rsidR="00EF1F67">
        <w:trPr>
          <w:jc w:val="center"/>
        </w:trPr>
        <w:tc>
          <w:tcPr>
            <w:tcW w:w="56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Chronic liver disease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289 (56)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293 (59)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284 (59)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298 (62)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317 (64)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299 (65)</w:t>
            </w:r>
          </w:p>
        </w:tc>
      </w:tr>
      <w:tr w:rsidR="00EF1F67">
        <w:trPr>
          <w:jc w:val="center"/>
        </w:trPr>
        <w:tc>
          <w:tcPr>
            <w:tcW w:w="56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Ischaemic heart disease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94 (16)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102 (15)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82 (10)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103 (15)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101 (10)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91 (11)</w:t>
            </w:r>
          </w:p>
        </w:tc>
      </w:tr>
      <w:tr w:rsidR="00EF1F67">
        <w:trPr>
          <w:jc w:val="center"/>
        </w:trPr>
        <w:tc>
          <w:tcPr>
            <w:tcW w:w="56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All cancer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77 (12)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53 (8)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54 (8)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51 (8)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65 (11)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66 (11)</w:t>
            </w:r>
          </w:p>
        </w:tc>
      </w:tr>
      <w:tr w:rsidR="00EF1F67">
        <w:trPr>
          <w:jc w:val="center"/>
        </w:trPr>
        <w:tc>
          <w:tcPr>
            <w:tcW w:w="56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Diabetes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369 (193)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385 (199)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313 (169)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385 (199)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42 (21)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42 (21)</w:t>
            </w:r>
          </w:p>
        </w:tc>
      </w:tr>
      <w:tr w:rsidR="00EF1F67">
        <w:trPr>
          <w:jc w:val="center"/>
        </w:trPr>
        <w:tc>
          <w:tcPr>
            <w:tcW w:w="56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All stroke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0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0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 (1)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0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0 (0)</w:t>
            </w:r>
          </w:p>
        </w:tc>
      </w:tr>
      <w:tr w:rsidR="00EF1F67">
        <w:trPr>
          <w:jc w:val="center"/>
        </w:trPr>
        <w:tc>
          <w:tcPr>
            <w:tcW w:w="56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240" w:right="80"/>
            </w:pPr>
            <w:r>
              <w:rPr>
                <w:rFonts w:eastAsia="Arial" w:cs="Arial"/>
                <w:color w:val="000000"/>
                <w:szCs w:val="18"/>
              </w:rPr>
              <w:t>Ischaemic stroke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0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 (0)</w:t>
            </w:r>
          </w:p>
        </w:tc>
      </w:tr>
      <w:tr w:rsidR="00EF1F67">
        <w:trPr>
          <w:jc w:val="center"/>
        </w:trPr>
        <w:tc>
          <w:tcPr>
            <w:tcW w:w="56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Respiratory diseases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6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3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3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3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3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 (0)</w:t>
            </w:r>
          </w:p>
        </w:tc>
      </w:tr>
      <w:tr w:rsidR="00EF1F67">
        <w:trPr>
          <w:jc w:val="center"/>
        </w:trPr>
        <w:tc>
          <w:tcPr>
            <w:tcW w:w="56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240" w:right="80"/>
            </w:pPr>
            <w:r>
              <w:rPr>
                <w:rFonts w:eastAsia="Arial" w:cs="Arial"/>
                <w:color w:val="000000"/>
                <w:szCs w:val="18"/>
              </w:rPr>
              <w:t>Pneumonia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 (0)</w:t>
            </w:r>
          </w:p>
        </w:tc>
      </w:tr>
      <w:tr w:rsidR="00EF1F67">
        <w:trPr>
          <w:jc w:val="center"/>
        </w:trPr>
        <w:tc>
          <w:tcPr>
            <w:tcW w:w="56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240" w:right="80"/>
            </w:pPr>
            <w:r>
              <w:rPr>
                <w:rFonts w:eastAsia="Arial" w:cs="Arial"/>
                <w:color w:val="000000"/>
                <w:szCs w:val="18"/>
              </w:rPr>
              <w:t>Chronic lower respiratory disease + Pulmonary heart disease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6 (2)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4 (2)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4 (2)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4 (2)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4 (2)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4 (2)</w:t>
            </w:r>
          </w:p>
        </w:tc>
      </w:tr>
      <w:tr w:rsidR="00EF1F67">
        <w:trPr>
          <w:jc w:val="center"/>
        </w:trPr>
        <w:tc>
          <w:tcPr>
            <w:tcW w:w="566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240" w:right="80"/>
            </w:pPr>
            <w:r>
              <w:rPr>
                <w:rFonts w:eastAsia="Arial" w:cs="Arial"/>
                <w:color w:val="000000"/>
                <w:szCs w:val="18"/>
              </w:rPr>
              <w:t>Broader chronic respiratory disease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 (1)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 (1)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 (1)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 (1)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 (1)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 (1)</w:t>
            </w:r>
          </w:p>
        </w:tc>
      </w:tr>
      <w:tr w:rsidR="00EF1F67">
        <w:trPr>
          <w:jc w:val="center"/>
        </w:trPr>
        <w:tc>
          <w:tcPr>
            <w:tcW w:w="5669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Infectious and parasitic diseases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 (0)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 (0)</w:t>
            </w:r>
          </w:p>
        </w:tc>
      </w:tr>
      <w:tr w:rsidR="00EF1F67">
        <w:trPr>
          <w:jc w:val="center"/>
        </w:trPr>
        <w:tc>
          <w:tcPr>
            <w:tcW w:w="14171" w:type="dxa"/>
            <w:gridSpan w:val="7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*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Adjusted for age, age-squared, sex, region, time since last meal (and its square), ambient temperature (and its square) and education.</w:t>
            </w:r>
          </w:p>
        </w:tc>
      </w:tr>
      <w:tr w:rsidR="00EF1F67">
        <w:trPr>
          <w:jc w:val="center"/>
        </w:trPr>
        <w:tc>
          <w:tcPr>
            <w:tcW w:w="14171" w:type="dxa"/>
            <w:gridSpan w:val="7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†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Additionally adjusted for alcohol, smoking and total physical activity.</w:t>
            </w:r>
          </w:p>
        </w:tc>
      </w:tr>
      <w:tr w:rsidR="00EF1F67">
        <w:trPr>
          <w:jc w:val="center"/>
        </w:trPr>
        <w:tc>
          <w:tcPr>
            <w:tcW w:w="14171" w:type="dxa"/>
            <w:gridSpan w:val="7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F1F67" w:rsidRDefault="0022385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 w:val="16"/>
                <w:szCs w:val="16"/>
              </w:rPr>
              <w:t>Significant associations are those with FDR-corrected p &lt; 0.05 (n = 9325 protein measures tested).</w:t>
            </w:r>
          </w:p>
        </w:tc>
      </w:tr>
    </w:tbl>
    <w:p w:rsidR="00EF1F67" w:rsidRDefault="00EF1F67">
      <w:pPr>
        <w:sectPr w:rsidR="00EF1F67">
          <w:footerReference w:type="default" r:id="rId8"/>
          <w:type w:val="continuous"/>
          <w:pgSz w:w="16838" w:h="11906" w:orient="landscape"/>
          <w:pgMar w:top="576" w:right="720" w:bottom="576" w:left="720" w:header="0" w:footer="360" w:gutter="0"/>
          <w:cols w:space="720"/>
        </w:sectPr>
      </w:pPr>
    </w:p>
    <w:p w:rsidR="00EF1F67" w:rsidRDefault="00223858">
      <w:pPr>
        <w:pStyle w:val="Heading1"/>
      </w:pPr>
      <w:bookmarkStart w:id="4" w:name="X716c6363c2b8b48a0a2f32c05ea1bdfdba1511a"/>
      <w:bookmarkStart w:id="5" w:name="_Toc180578512"/>
      <w:r>
        <w:lastRenderedPageBreak/>
        <w:t>Figure S1: Volcano plots of adjusted HRs for any disease event and all-cause mortality associated with Olink and SomaScan (no ANML) proteins</w:t>
      </w:r>
      <w:bookmarkEnd w:id="5"/>
    </w:p>
    <w:p w:rsidR="00EF1F67" w:rsidRDefault="00223858">
      <w:r>
        <w:rPr>
          <w:noProof/>
          <w:lang w:eastAsia="en-GB"/>
        </w:rPr>
        <w:drawing>
          <wp:inline distT="0" distB="0" distL="0" distR="0">
            <wp:extent cx="6642100" cy="8818538"/>
            <wp:effectExtent l="0" t="0" r="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J:/%5B01%5D%20Analyses/01%20Proteomics/proteins-diseases/output/plots/volcano_plots_4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88185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F67" w:rsidRDefault="00223858">
      <w:r>
        <w:t>Numbers of proteins significant associated (FDR-adjusted p &lt; 0.05, n = 9325 protein measures tested) with each en</w:t>
      </w:r>
      <w:r>
        <w:t>dpoint shown. For total, proteins measured by both Olink and SomaScan are counted as significant if FDR-adjusted p &lt; 0.05 for either platform.</w:t>
      </w:r>
    </w:p>
    <w:p w:rsidR="00EF1F67" w:rsidRDefault="00223858">
      <w:pPr>
        <w:pStyle w:val="Heading1"/>
      </w:pPr>
      <w:bookmarkStart w:id="6" w:name="X63a0fb298e5e53ab7beedb6a4189800bb8f303d"/>
      <w:bookmarkStart w:id="7" w:name="_Toc180578513"/>
      <w:bookmarkEnd w:id="4"/>
      <w:r>
        <w:lastRenderedPageBreak/>
        <w:t>Figure S2: Volcano plots of adjusted HRs for chronic kidney disease, chronic liver disease, ischaemic heart disea</w:t>
      </w:r>
      <w:r>
        <w:t>se and all cancer associated with Olink and SomaScan (no ANML) proteins</w:t>
      </w:r>
      <w:bookmarkEnd w:id="7"/>
    </w:p>
    <w:p w:rsidR="00EF1F67" w:rsidRDefault="00223858">
      <w:r>
        <w:rPr>
          <w:noProof/>
          <w:lang w:eastAsia="en-GB"/>
        </w:rPr>
        <w:drawing>
          <wp:inline distT="0" distB="0" distL="0" distR="0">
            <wp:extent cx="6642100" cy="8994256"/>
            <wp:effectExtent l="0" t="0" r="0" b="0"/>
            <wp:docPr id="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 descr="J:/%5B01%5D%20Analyses/01%20Proteomics/proteins-diseases/output/plots/volcano_plots_5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8994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F67" w:rsidRDefault="00223858">
      <w:r>
        <w:t>Numbers of proteins significant associated (FDR-adjusted p &lt; 0.05, n = 9325 protein measures tested) with each endpoint shown. For total, proteins measured by both Olink and SomaScan</w:t>
      </w:r>
      <w:r>
        <w:t xml:space="preserve"> are counted as significant if FDR-adjusted p &lt; 0.05 for either platform.</w:t>
      </w:r>
    </w:p>
    <w:p w:rsidR="00EF1F67" w:rsidRDefault="00223858">
      <w:pPr>
        <w:pStyle w:val="Heading1"/>
      </w:pPr>
      <w:bookmarkStart w:id="8" w:name="X5a22be553354b8175580b2cc5e72ec250177f8f"/>
      <w:bookmarkStart w:id="9" w:name="_Toc180578514"/>
      <w:bookmarkEnd w:id="6"/>
      <w:r>
        <w:lastRenderedPageBreak/>
        <w:t>Figure S3: Volcano plots of adjusted HRs for diabetes, all stroke, respiratory diseases and infectious and parasitic diseases associated with Olink and SomaScan proteins</w:t>
      </w:r>
      <w:bookmarkEnd w:id="9"/>
    </w:p>
    <w:p w:rsidR="00EF1F67" w:rsidRDefault="00223858">
      <w:r>
        <w:rPr>
          <w:noProof/>
          <w:lang w:eastAsia="en-GB"/>
        </w:rPr>
        <w:drawing>
          <wp:inline distT="0" distB="0" distL="0" distR="0">
            <wp:extent cx="6642100" cy="8994256"/>
            <wp:effectExtent l="0" t="0" r="0" b="0"/>
            <wp:docPr id="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J:/%5B01%5D%20Analyses/01%20Proteomics/proteins-diseases/output/plots/volcano_plots_3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8994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F67" w:rsidRDefault="00223858">
      <w:r>
        <w:t>Numbers of</w:t>
      </w:r>
      <w:r>
        <w:t xml:space="preserve"> proteins significant associated (FDR-adjusted p &lt; 0.05, n = 9325 protein measures tested) with each endpoint shown. For total, proteins measured by both Olink and SomaScan are counted as significant if FDR-adjusted p &lt; 0.05 for either platform.</w:t>
      </w:r>
    </w:p>
    <w:p w:rsidR="00EF1F67" w:rsidRDefault="00223858">
      <w:pPr>
        <w:pStyle w:val="Heading1"/>
      </w:pPr>
      <w:bookmarkStart w:id="10" w:name="X71e798298a7a4a45f38c52eeb649641630ad0ec"/>
      <w:bookmarkStart w:id="11" w:name="_Toc180578515"/>
      <w:bookmarkEnd w:id="8"/>
      <w:r>
        <w:lastRenderedPageBreak/>
        <w:t>Figure S4:</w:t>
      </w:r>
      <w:r>
        <w:t xml:space="preserve"> Volcano plots of adjusted HRs for diabetes, all stroke, respiratory diseases and infectious and parasitic diseases associated with Olink and SomaScan (no ANML) proteins</w:t>
      </w:r>
      <w:bookmarkEnd w:id="11"/>
    </w:p>
    <w:p w:rsidR="00EF1F67" w:rsidRDefault="00223858">
      <w:r>
        <w:rPr>
          <w:noProof/>
          <w:lang w:eastAsia="en-GB"/>
        </w:rPr>
        <w:drawing>
          <wp:inline distT="0" distB="0" distL="0" distR="0">
            <wp:extent cx="6642100" cy="8994256"/>
            <wp:effectExtent l="0" t="0" r="0" b="0"/>
            <wp:docPr id="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 descr="J:/%5B01%5D%20Analyses/01%20Proteomics/proteins-diseases/output/plots/volcano_plots_6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8994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F67" w:rsidRDefault="00223858">
      <w:r>
        <w:t xml:space="preserve">Numbers of proteins significant associated (FDR-adjusted p &lt; 0.05, n = 9325 protein </w:t>
      </w:r>
      <w:r>
        <w:t>measures tested) with each endpoint shown. For total, proteins measured by both Olink and SomaScan are counted as significant if FDR-adjusted p &lt; 0.05 for either platform.</w:t>
      </w:r>
    </w:p>
    <w:p w:rsidR="00EF1F67" w:rsidRDefault="00EF1F67">
      <w:pPr>
        <w:sectPr w:rsidR="00EF1F67">
          <w:footerReference w:type="default" r:id="rId13"/>
          <w:type w:val="continuous"/>
          <w:pgSz w:w="11906" w:h="16838"/>
          <w:pgMar w:top="576" w:right="720" w:bottom="576" w:left="720" w:header="0" w:footer="360" w:gutter="0"/>
          <w:cols w:space="720"/>
        </w:sectPr>
      </w:pPr>
    </w:p>
    <w:p w:rsidR="00EF1F67" w:rsidRDefault="00223858">
      <w:pPr>
        <w:pStyle w:val="Heading1"/>
      </w:pPr>
      <w:bookmarkStart w:id="12" w:name="X01872f58d3ad350422de460c60a38cad8bc9d74"/>
      <w:bookmarkStart w:id="13" w:name="_Toc180578516"/>
      <w:bookmarkEnd w:id="10"/>
      <w:r>
        <w:lastRenderedPageBreak/>
        <w:t>Figure S5: Heat map showing the numbers of proteins assoc</w:t>
      </w:r>
      <w:r>
        <w:t>iated with pairs of disease endpoints</w:t>
      </w:r>
      <w:bookmarkEnd w:id="13"/>
    </w:p>
    <w:p w:rsidR="00EF1F67" w:rsidRDefault="00223858">
      <w:r>
        <w:rPr>
          <w:noProof/>
          <w:lang w:eastAsia="en-GB"/>
        </w:rPr>
        <w:drawing>
          <wp:inline distT="0" distB="0" distL="0" distR="0">
            <wp:extent cx="9749522" cy="5055194"/>
            <wp:effectExtent l="0" t="0" r="0" b="0"/>
            <wp:docPr id="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" descr="J:/%5B01%5D%20Analyses/01%20Proteomics/proteins-diseases/output/plots/significant_associations_pair_diseases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9522" cy="50551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F67" w:rsidRDefault="00EF1F67">
      <w:pPr>
        <w:sectPr w:rsidR="00EF1F67">
          <w:footerReference w:type="default" r:id="rId15"/>
          <w:type w:val="continuous"/>
          <w:pgSz w:w="16838" w:h="11906" w:orient="landscape"/>
          <w:pgMar w:top="576" w:right="720" w:bottom="576" w:left="720" w:header="0" w:footer="360" w:gutter="0"/>
          <w:cols w:space="720"/>
        </w:sectPr>
      </w:pPr>
    </w:p>
    <w:p w:rsidR="00EF1F67" w:rsidRDefault="00223858">
      <w:pPr>
        <w:pStyle w:val="Heading1"/>
      </w:pPr>
      <w:bookmarkStart w:id="14" w:name="X4f064823a13f01fd24d3a75a5fda20925ae2302"/>
      <w:bookmarkStart w:id="15" w:name="_Toc180578517"/>
      <w:bookmarkEnd w:id="12"/>
      <w:r>
        <w:lastRenderedPageBreak/>
        <w:t>Figure S6: Top 40 proteins most strongly associated with two or more disease endpoints</w:t>
      </w:r>
      <w:bookmarkEnd w:id="15"/>
    </w:p>
    <w:p w:rsidR="00EF1F67" w:rsidRDefault="00223858">
      <w:r>
        <w:rPr>
          <w:noProof/>
          <w:lang w:eastAsia="en-GB"/>
        </w:rPr>
        <w:drawing>
          <wp:inline distT="0" distB="0" distL="0" distR="0">
            <wp:extent cx="6642100" cy="8994256"/>
            <wp:effectExtent l="0" t="0" r="0" b="0"/>
            <wp:docPr id="1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 descr="J:/%5B01%5D%20Analyses/01%20Proteomics/proteins-diseases/output/plots/top_multiple_significant_associations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8994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Proteins shown are associated with two or more disease endpoints (FDR-adjusted p &lt; 0.05) and in top</w:t>
      </w:r>
      <w:r>
        <w:t xml:space="preserve"> 40 for Olink or SomaScan by the sum of effect sizes across those diseases.</w:t>
      </w:r>
    </w:p>
    <w:p w:rsidR="00EF1F67" w:rsidRDefault="00EF1F67">
      <w:pPr>
        <w:sectPr w:rsidR="00EF1F67">
          <w:footerReference w:type="default" r:id="rId17"/>
          <w:type w:val="continuous"/>
          <w:pgSz w:w="11906" w:h="16838"/>
          <w:pgMar w:top="576" w:right="720" w:bottom="576" w:left="720" w:header="0" w:footer="360" w:gutter="0"/>
          <w:cols w:space="720"/>
        </w:sectPr>
      </w:pPr>
    </w:p>
    <w:p w:rsidR="00EF1F67" w:rsidRDefault="00223858">
      <w:pPr>
        <w:pStyle w:val="Heading1"/>
      </w:pPr>
      <w:bookmarkStart w:id="16" w:name="Xbfe65a53d635d864b1c674d5264090de39ca7f2"/>
      <w:bookmarkStart w:id="17" w:name="_Toc180578518"/>
      <w:bookmarkEnd w:id="14"/>
      <w:r>
        <w:lastRenderedPageBreak/>
        <w:t>Figure S7: Performance of risk prediction models using conventional risk factors and proteins, assessed by (A) C-statistics and Net Reclassification Index and (B) Cumulative incidence of mortality by age-adjusted predicted risk for all-cause mortality, wit</w:t>
      </w:r>
      <w:r>
        <w:t>h use of non-normalised SomaScan proteins</w:t>
      </w:r>
      <w:bookmarkEnd w:id="17"/>
    </w:p>
    <w:p w:rsidR="00EF1F67" w:rsidRDefault="00223858">
      <w:r>
        <w:rPr>
          <w:noProof/>
          <w:lang w:eastAsia="en-GB"/>
        </w:rPr>
        <w:drawing>
          <wp:inline distT="0" distB="0" distL="0" distR="0">
            <wp:extent cx="9749522" cy="3972593"/>
            <wp:effectExtent l="0" t="0" r="0" b="0"/>
            <wp:docPr id="13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" descr="J:/%5B01%5D%20Analyses/01%20Proteomics/proteins-diseases-risk-prediction/output/plots/risk_prediction_figure_overlap_proteins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9522" cy="39725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F67" w:rsidRDefault="00223858">
      <w:pPr>
        <w:pStyle w:val="Heading1"/>
      </w:pPr>
      <w:bookmarkStart w:id="18" w:name="Xb83743c8c22773f82d95378ce2409b06f415c3a"/>
      <w:bookmarkStart w:id="19" w:name="_Toc180578519"/>
      <w:bookmarkEnd w:id="16"/>
      <w:r>
        <w:lastRenderedPageBreak/>
        <w:t>Figure S8: Calibration of mortality risk prediction models using conventional risk factors and Olink and/or SomaScan proteins</w:t>
      </w:r>
      <w:bookmarkEnd w:id="19"/>
    </w:p>
    <w:p w:rsidR="00EF1F67" w:rsidRDefault="00223858">
      <w:r>
        <w:rPr>
          <w:noProof/>
          <w:lang w:eastAsia="en-GB"/>
        </w:rPr>
        <w:drawing>
          <wp:inline distT="0" distB="0" distL="0" distR="0">
            <wp:extent cx="9749522" cy="5994060"/>
            <wp:effectExtent l="0" t="0" r="0" b="0"/>
            <wp:docPr id="15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" descr="J:/%5B01%5D%20Analyses/01%20Proteomics/proteins-diseases-risk-prediction/output/plots/calibration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9522" cy="5994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F67" w:rsidRDefault="00223858">
      <w:pPr>
        <w:pStyle w:val="Heading1"/>
      </w:pPr>
      <w:bookmarkStart w:id="20" w:name="X916dcf2e46e6900ca63b38841bee5848a234dbb"/>
      <w:bookmarkStart w:id="21" w:name="_Toc180578520"/>
      <w:bookmarkEnd w:id="18"/>
      <w:r>
        <w:lastRenderedPageBreak/>
        <w:t>Figure S9: Calibration of mortality risk prediction models using conventional risk f</w:t>
      </w:r>
      <w:r>
        <w:t>actors and proteins measured by both Olink and SomaScan platforms</w:t>
      </w:r>
      <w:bookmarkEnd w:id="21"/>
    </w:p>
    <w:p w:rsidR="00EF1F67" w:rsidRDefault="00223858">
      <w:r>
        <w:rPr>
          <w:noProof/>
          <w:lang w:eastAsia="en-GB"/>
        </w:rPr>
        <w:drawing>
          <wp:inline distT="0" distB="0" distL="0" distR="0">
            <wp:extent cx="9749522" cy="5994060"/>
            <wp:effectExtent l="0" t="0" r="0" b="0"/>
            <wp:docPr id="1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 descr="J:/%5B01%5D%20Analyses/01%20Proteomics/proteins-diseases-risk-prediction/output/plots/calibration_overlap_proteins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9522" cy="59940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F67" w:rsidRDefault="00EF1F67">
      <w:pPr>
        <w:sectPr w:rsidR="00EF1F67">
          <w:footerReference w:type="default" r:id="rId21"/>
          <w:type w:val="continuous"/>
          <w:pgSz w:w="16838" w:h="11906" w:orient="landscape"/>
          <w:pgMar w:top="576" w:right="720" w:bottom="576" w:left="720" w:header="0" w:footer="360" w:gutter="0"/>
          <w:cols w:space="720"/>
        </w:sectPr>
      </w:pPr>
    </w:p>
    <w:p w:rsidR="00EF1F67" w:rsidRDefault="00223858">
      <w:pPr>
        <w:pStyle w:val="Heading1"/>
      </w:pPr>
      <w:bookmarkStart w:id="22" w:name="Xa58abbe7201ff995d98e952560bb9ad1bd5b399"/>
      <w:bookmarkStart w:id="23" w:name="_Toc180578521"/>
      <w:bookmarkEnd w:id="20"/>
      <w:r>
        <w:lastRenderedPageBreak/>
        <w:t>Figure S10: Weights of top 40 proteins in risk prediction model of conventional risk factors plus Olink and SomaScan proteins</w:t>
      </w:r>
      <w:bookmarkEnd w:id="23"/>
    </w:p>
    <w:p w:rsidR="00EF1F67" w:rsidRDefault="00223858">
      <w:r>
        <w:rPr>
          <w:noProof/>
          <w:lang w:eastAsia="en-GB"/>
        </w:rPr>
        <w:drawing>
          <wp:inline distT="0" distB="0" distL="0" distR="0">
            <wp:extent cx="6642100" cy="8818538"/>
            <wp:effectExtent l="0" t="0" r="0" b="0"/>
            <wp:docPr id="19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" descr="J:/%5B01%5D%20Analyses/01%20Proteomics/proteins-diseases-risk-prediction/output/plots/protein_weights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88185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1F67" w:rsidRDefault="00223858">
      <w:pPr>
        <w:pStyle w:val="Heading1"/>
      </w:pPr>
      <w:bookmarkStart w:id="24" w:name="Xabc17fc53dc2f11f16eb8ddb33d8b5757bb28a1"/>
      <w:bookmarkStart w:id="25" w:name="_Toc180578522"/>
      <w:bookmarkEnd w:id="22"/>
      <w:r>
        <w:lastRenderedPageBreak/>
        <w:t>Figure S11: Weights of top 40 pr</w:t>
      </w:r>
      <w:r>
        <w:t>oteins in risk prediction model of conventional risk factors plus proteins measured by both Olink and SomaScan platforms</w:t>
      </w:r>
      <w:bookmarkEnd w:id="25"/>
    </w:p>
    <w:p w:rsidR="00EF1F67" w:rsidRDefault="00223858">
      <w:r>
        <w:rPr>
          <w:noProof/>
          <w:lang w:eastAsia="en-GB"/>
        </w:rPr>
        <w:drawing>
          <wp:inline distT="0" distB="0" distL="0" distR="0">
            <wp:extent cx="6642100" cy="8818538"/>
            <wp:effectExtent l="0" t="0" r="0" b="0"/>
            <wp:docPr id="2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 descr="J:/%5B01%5D%20Analyses/01%20Proteomics/proteins-diseases-risk-prediction/output/plots/protein_weights_overlap_proteins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88185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sectPr w:rsidR="00EF1F67">
      <w:type w:val="continuous"/>
      <w:pgSz w:w="11952" w:h="16848"/>
      <w:pgMar w:top="576" w:right="720" w:bottom="576" w:left="72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23858">
      <w:pPr>
        <w:spacing w:after="0" w:line="240" w:lineRule="auto"/>
      </w:pPr>
      <w:r>
        <w:separator/>
      </w:r>
    </w:p>
  </w:endnote>
  <w:endnote w:type="continuationSeparator" w:id="0">
    <w:p w:rsidR="00000000" w:rsidRDefault="00223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F67" w:rsidRDefault="00223858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F67" w:rsidRDefault="00223858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4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F67" w:rsidRDefault="00223858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8</w:t>
    </w:r>
    <w: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F67" w:rsidRDefault="00223858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15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F67" w:rsidRDefault="00223858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15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1F67" w:rsidRDefault="00223858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15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23858">
      <w:pPr>
        <w:spacing w:after="0" w:line="240" w:lineRule="auto"/>
      </w:pPr>
      <w:r>
        <w:separator/>
      </w:r>
    </w:p>
  </w:footnote>
  <w:footnote w:type="continuationSeparator" w:id="0">
    <w:p w:rsidR="00000000" w:rsidRDefault="002238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0"/>
    <w:multiLevelType w:val="multilevel"/>
    <w:tmpl w:val="EBF46FD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F67"/>
    <w:rsid w:val="00223858"/>
    <w:rsid w:val="00EF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580345-4B4B-45EA-94AC-7A96A2416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0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502C"/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2F1F"/>
    <w:pPr>
      <w:keepNext/>
      <w:keepLines/>
      <w:pageBreakBefore/>
      <w:spacing w:before="100" w:beforeAutospacing="1" w:after="240"/>
      <w:outlineLvl w:val="0"/>
    </w:pPr>
    <w:rPr>
      <w:rFonts w:eastAsiaTheme="majorEastAsia" w:cstheme="majorBidi"/>
      <w:b/>
      <w:sz w:val="2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7BB7"/>
    <w:pPr>
      <w:keepNext/>
      <w:keepLines/>
      <w:spacing w:before="240" w:after="120"/>
      <w:outlineLvl w:val="1"/>
    </w:pPr>
    <w:rPr>
      <w:rFonts w:eastAsiaTheme="majorEastAsia" w:cstheme="majorBidi"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rsid w:val="0078278B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left w:w="0" w:type="dxa"/>
        <w:right w:w="0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CC2F1F"/>
    <w:rPr>
      <w:rFonts w:ascii="Arial" w:eastAsiaTheme="majorEastAsia" w:hAnsi="Arial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37BB7"/>
    <w:rPr>
      <w:rFonts w:ascii="Arial" w:eastAsiaTheme="majorEastAsia" w:hAnsi="Arial" w:cstheme="majorBidi"/>
      <w:szCs w:val="26"/>
    </w:rPr>
  </w:style>
  <w:style w:type="paragraph" w:customStyle="1" w:styleId="Figure">
    <w:name w:val="Figure"/>
    <w:basedOn w:val="Normal"/>
    <w:qFormat/>
    <w:rsid w:val="00EE5989"/>
    <w:pPr>
      <w:jc w:val="center"/>
    </w:pPr>
  </w:style>
  <w:style w:type="paragraph" w:customStyle="1" w:styleId="toctitle">
    <w:name w:val="toctitle"/>
    <w:basedOn w:val="Normal"/>
    <w:qFormat/>
    <w:rsid w:val="00C06000"/>
    <w:pPr>
      <w:spacing w:before="480"/>
    </w:pPr>
    <w:rPr>
      <w:b/>
      <w:sz w:val="22"/>
    </w:rPr>
  </w:style>
  <w:style w:type="paragraph" w:customStyle="1" w:styleId="papertitle">
    <w:name w:val="papertitle"/>
    <w:basedOn w:val="Normal"/>
    <w:rsid w:val="002A7BEC"/>
    <w:rPr>
      <w:b/>
      <w:sz w:val="22"/>
    </w:rPr>
  </w:style>
  <w:style w:type="paragraph" w:customStyle="1" w:styleId="authors">
    <w:name w:val="authors"/>
    <w:basedOn w:val="papertitle"/>
    <w:qFormat/>
    <w:rsid w:val="004165A7"/>
    <w:pPr>
      <w:spacing w:after="480"/>
    </w:pPr>
    <w:rPr>
      <w:b w:val="0"/>
    </w:rPr>
  </w:style>
  <w:style w:type="paragraph" w:styleId="Header">
    <w:name w:val="header"/>
    <w:basedOn w:val="Normal"/>
    <w:link w:val="HeaderChar"/>
    <w:uiPriority w:val="99"/>
    <w:unhideWhenUsed/>
    <w:rsid w:val="00794C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CF0"/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unhideWhenUsed/>
    <w:rsid w:val="00794C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CF0"/>
    <w:rPr>
      <w:rFonts w:ascii="Arial" w:hAnsi="Arial"/>
      <w:sz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00B3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0B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maintitle">
    <w:name w:val="maintitle"/>
    <w:basedOn w:val="Normal"/>
    <w:qFormat/>
    <w:rsid w:val="00200B31"/>
    <w:pPr>
      <w:spacing w:before="480" w:after="480"/>
      <w:jc w:val="center"/>
    </w:pPr>
    <w:rPr>
      <w:b/>
      <w:sz w:val="28"/>
    </w:rPr>
  </w:style>
  <w:style w:type="paragraph" w:customStyle="1" w:styleId="SourceCode">
    <w:name w:val="Source Code"/>
    <w:basedOn w:val="Normal"/>
    <w:pPr>
      <w:shd w:val="clear" w:color="auto" w:fill="F8F8F8"/>
      <w:wordWrap w:val="0"/>
    </w:pPr>
  </w:style>
  <w:style w:type="character" w:customStyle="1" w:styleId="KeywordTok">
    <w:name w:val="KeywordTok"/>
    <w:rPr>
      <w:b/>
      <w:color w:val="204A87"/>
      <w:shd w:val="clear" w:color="auto" w:fill="F8F8F8"/>
    </w:rPr>
  </w:style>
  <w:style w:type="character" w:customStyle="1" w:styleId="DataTypeTok">
    <w:name w:val="DataTypeTok"/>
    <w:rPr>
      <w:color w:val="204A87"/>
      <w:shd w:val="clear" w:color="auto" w:fill="F8F8F8"/>
    </w:rPr>
  </w:style>
  <w:style w:type="character" w:customStyle="1" w:styleId="DecValTok">
    <w:name w:val="DecValTok"/>
    <w:rPr>
      <w:color w:val="0000CF"/>
      <w:shd w:val="clear" w:color="auto" w:fill="F8F8F8"/>
    </w:rPr>
  </w:style>
  <w:style w:type="character" w:customStyle="1" w:styleId="BaseNTok">
    <w:name w:val="BaseNTok"/>
    <w:rPr>
      <w:color w:val="0000CF"/>
      <w:shd w:val="clear" w:color="auto" w:fill="F8F8F8"/>
    </w:rPr>
  </w:style>
  <w:style w:type="character" w:customStyle="1" w:styleId="FloatTok">
    <w:name w:val="FloatTok"/>
    <w:rPr>
      <w:color w:val="0000CF"/>
      <w:shd w:val="clear" w:color="auto" w:fill="F8F8F8"/>
    </w:rPr>
  </w:style>
  <w:style w:type="character" w:customStyle="1" w:styleId="ConstantTok">
    <w:name w:val="ConstantTok"/>
    <w:rPr>
      <w:color w:val="8F5902"/>
      <w:shd w:val="clear" w:color="auto" w:fill="F8F8F8"/>
    </w:rPr>
  </w:style>
  <w:style w:type="character" w:customStyle="1" w:styleId="CharTok">
    <w:name w:val="CharTok"/>
    <w:rPr>
      <w:color w:val="4E9A06"/>
      <w:shd w:val="clear" w:color="auto" w:fill="F8F8F8"/>
    </w:rPr>
  </w:style>
  <w:style w:type="character" w:customStyle="1" w:styleId="SpecialCharTok">
    <w:name w:val="SpecialCharTok"/>
    <w:rPr>
      <w:b/>
      <w:color w:val="CE5C00"/>
      <w:shd w:val="clear" w:color="auto" w:fill="F8F8F8"/>
    </w:rPr>
  </w:style>
  <w:style w:type="character" w:customStyle="1" w:styleId="StringTok">
    <w:name w:val="StringTok"/>
    <w:rPr>
      <w:color w:val="4E9A06"/>
      <w:shd w:val="clear" w:color="auto" w:fill="F8F8F8"/>
    </w:rPr>
  </w:style>
  <w:style w:type="character" w:customStyle="1" w:styleId="VerbatimStringTok">
    <w:name w:val="VerbatimStringTok"/>
    <w:rPr>
      <w:color w:val="4E9A06"/>
      <w:shd w:val="clear" w:color="auto" w:fill="F8F8F8"/>
    </w:rPr>
  </w:style>
  <w:style w:type="character" w:customStyle="1" w:styleId="SpecialStringTok">
    <w:name w:val="SpecialStringTok"/>
    <w:rPr>
      <w:color w:val="4E9A06"/>
      <w:shd w:val="clear" w:color="auto" w:fill="F8F8F8"/>
    </w:rPr>
  </w:style>
  <w:style w:type="character" w:customStyle="1" w:styleId="ImportTok">
    <w:name w:val="ImportTok"/>
    <w:rPr>
      <w:shd w:val="clear" w:color="auto" w:fill="F8F8F8"/>
    </w:rPr>
  </w:style>
  <w:style w:type="character" w:customStyle="1" w:styleId="CommentTok">
    <w:name w:val="CommentTok"/>
    <w:rPr>
      <w:i/>
      <w:color w:val="8F5902"/>
      <w:shd w:val="clear" w:color="auto" w:fill="F8F8F8"/>
    </w:rPr>
  </w:style>
  <w:style w:type="character" w:customStyle="1" w:styleId="DocumentationTok">
    <w:name w:val="DocumentationTok"/>
    <w:rPr>
      <w:b/>
      <w:i/>
      <w:color w:val="8F5902"/>
      <w:shd w:val="clear" w:color="auto" w:fill="F8F8F8"/>
    </w:rPr>
  </w:style>
  <w:style w:type="character" w:customStyle="1" w:styleId="AnnotationTok">
    <w:name w:val="AnnotationTok"/>
    <w:rPr>
      <w:b/>
      <w:i/>
      <w:color w:val="8F5902"/>
      <w:shd w:val="clear" w:color="auto" w:fill="F8F8F8"/>
    </w:rPr>
  </w:style>
  <w:style w:type="character" w:customStyle="1" w:styleId="CommentVarTok">
    <w:name w:val="CommentVarTok"/>
    <w:rPr>
      <w:b/>
      <w:i/>
      <w:color w:val="8F5902"/>
      <w:shd w:val="clear" w:color="auto" w:fill="F8F8F8"/>
    </w:rPr>
  </w:style>
  <w:style w:type="character" w:customStyle="1" w:styleId="OtherTok">
    <w:name w:val="OtherTok"/>
    <w:rPr>
      <w:color w:val="8F5902"/>
      <w:shd w:val="clear" w:color="auto" w:fill="F8F8F8"/>
    </w:rPr>
  </w:style>
  <w:style w:type="character" w:customStyle="1" w:styleId="FunctionTok">
    <w:name w:val="FunctionTok"/>
    <w:rPr>
      <w:b/>
      <w:color w:val="204A87"/>
      <w:shd w:val="clear" w:color="auto" w:fill="F8F8F8"/>
    </w:rPr>
  </w:style>
  <w:style w:type="character" w:customStyle="1" w:styleId="VariableTok">
    <w:name w:val="VariableTok"/>
    <w:rPr>
      <w:color w:val="000000"/>
      <w:shd w:val="clear" w:color="auto" w:fill="F8F8F8"/>
    </w:rPr>
  </w:style>
  <w:style w:type="character" w:customStyle="1" w:styleId="ControlFlowTok">
    <w:name w:val="ControlFlowTok"/>
    <w:rPr>
      <w:b/>
      <w:color w:val="204A87"/>
      <w:shd w:val="clear" w:color="auto" w:fill="F8F8F8"/>
    </w:rPr>
  </w:style>
  <w:style w:type="character" w:customStyle="1" w:styleId="OperatorTok">
    <w:name w:val="OperatorTok"/>
    <w:rPr>
      <w:b/>
      <w:color w:val="CE5C00"/>
      <w:shd w:val="clear" w:color="auto" w:fill="F8F8F8"/>
    </w:rPr>
  </w:style>
  <w:style w:type="character" w:customStyle="1" w:styleId="BuiltInTok">
    <w:name w:val="BuiltInTok"/>
    <w:rPr>
      <w:shd w:val="clear" w:color="auto" w:fill="F8F8F8"/>
    </w:rPr>
  </w:style>
  <w:style w:type="character" w:customStyle="1" w:styleId="ExtensionTok">
    <w:name w:val="ExtensionTok"/>
    <w:rPr>
      <w:shd w:val="clear" w:color="auto" w:fill="F8F8F8"/>
    </w:rPr>
  </w:style>
  <w:style w:type="character" w:customStyle="1" w:styleId="PreprocessorTok">
    <w:name w:val="PreprocessorTok"/>
    <w:rPr>
      <w:i/>
      <w:color w:val="8F5902"/>
      <w:shd w:val="clear" w:color="auto" w:fill="F8F8F8"/>
    </w:rPr>
  </w:style>
  <w:style w:type="character" w:customStyle="1" w:styleId="AttributeTok">
    <w:name w:val="AttributeTok"/>
    <w:rPr>
      <w:color w:val="204A87"/>
      <w:shd w:val="clear" w:color="auto" w:fill="F8F8F8"/>
    </w:rPr>
  </w:style>
  <w:style w:type="character" w:customStyle="1" w:styleId="RegionMarkerTok">
    <w:name w:val="RegionMarkerTok"/>
    <w:rPr>
      <w:shd w:val="clear" w:color="auto" w:fill="F8F8F8"/>
    </w:rPr>
  </w:style>
  <w:style w:type="character" w:customStyle="1" w:styleId="InformationTok">
    <w:name w:val="InformationTok"/>
    <w:rPr>
      <w:b/>
      <w:i/>
      <w:color w:val="8F5902"/>
      <w:shd w:val="clear" w:color="auto" w:fill="F8F8F8"/>
    </w:rPr>
  </w:style>
  <w:style w:type="character" w:customStyle="1" w:styleId="WarningTok">
    <w:name w:val="WarningTok"/>
    <w:rPr>
      <w:b/>
      <w:i/>
      <w:color w:val="8F5902"/>
      <w:shd w:val="clear" w:color="auto" w:fill="F8F8F8"/>
    </w:rPr>
  </w:style>
  <w:style w:type="character" w:customStyle="1" w:styleId="AlertTok">
    <w:name w:val="AlertTok"/>
    <w:rPr>
      <w:color w:val="EF2929"/>
      <w:shd w:val="clear" w:color="auto" w:fill="F8F8F8"/>
    </w:rPr>
  </w:style>
  <w:style w:type="character" w:customStyle="1" w:styleId="ErrorTok">
    <w:name w:val="ErrorTok"/>
    <w:rPr>
      <w:b/>
      <w:color w:val="A40000"/>
      <w:shd w:val="clear" w:color="auto" w:fill="F8F8F8"/>
    </w:rPr>
  </w:style>
  <w:style w:type="character" w:customStyle="1" w:styleId="NormalTok">
    <w:name w:val="NormalTok"/>
    <w:rPr>
      <w:shd w:val="clear" w:color="auto" w:fill="F8F8F8"/>
    </w:rPr>
  </w:style>
  <w:style w:type="paragraph" w:styleId="TOC1">
    <w:name w:val="toc 1"/>
    <w:basedOn w:val="Normal"/>
    <w:next w:val="Normal"/>
    <w:autoRedefine/>
    <w:uiPriority w:val="39"/>
    <w:unhideWhenUsed/>
    <w:rsid w:val="00223858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2238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3.xm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footer" Target="footer1.xml"/><Relationship Id="rId12" Type="http://schemas.openxmlformats.org/officeDocument/2006/relationships/image" Target="media/image4.png"/><Relationship Id="rId17" Type="http://schemas.openxmlformats.org/officeDocument/2006/relationships/footer" Target="footer5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image" Target="media/image11.png"/><Relationship Id="rId10" Type="http://schemas.openxmlformats.org/officeDocument/2006/relationships/image" Target="media/image2.png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1634</Words>
  <Characters>9318</Characters>
  <Application>Microsoft Office Word</Application>
  <DocSecurity>0</DocSecurity>
  <Lines>77</Lines>
  <Paragraphs>21</Paragraphs>
  <ScaleCrop>false</ScaleCrop>
  <Company/>
  <LinksUpToDate>false</LinksUpToDate>
  <CharactersWithSpaces>10931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Neil Wright</cp:lastModifiedBy>
  <cp:revision>2</cp:revision>
  <dcterms:created xsi:type="dcterms:W3CDTF">2024-10-23T10:32:00Z</dcterms:created>
  <dcterms:modified xsi:type="dcterms:W3CDTF">2024-10-23T11:21:00Z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tput">
    <vt:lpwstr/>
  </property>
</Properties>
</file>