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C46516" w14:textId="77777777" w:rsidR="001662FC" w:rsidRPr="000E1F6F" w:rsidRDefault="001662FC" w:rsidP="001662FC">
      <w:pPr>
        <w:spacing w:line="360" w:lineRule="auto"/>
        <w:jc w:val="center"/>
        <w:rPr>
          <w:b/>
          <w:sz w:val="24"/>
          <w:szCs w:val="24"/>
        </w:rPr>
      </w:pPr>
      <w:bookmarkStart w:id="0" w:name="_Hlk41594645"/>
      <w:r>
        <w:rPr>
          <w:b/>
          <w:sz w:val="24"/>
          <w:szCs w:val="24"/>
        </w:rPr>
        <w:t>ECMO</w:t>
      </w:r>
      <w:r w:rsidRPr="000E1F6F">
        <w:rPr>
          <w:b/>
          <w:sz w:val="24"/>
          <w:szCs w:val="24"/>
        </w:rPr>
        <w:t xml:space="preserve"> Therapy for Critically Ill Coronavirus Disease 2019 Patients in Wuhan, China: A Retrospective Multicenter Cohort Study</w:t>
      </w:r>
    </w:p>
    <w:bookmarkEnd w:id="0"/>
    <w:p w14:paraId="333198EC" w14:textId="195A2B60" w:rsidR="001662FC" w:rsidRPr="001662FC" w:rsidRDefault="00FE6BED" w:rsidP="00FE6BED">
      <w:pPr>
        <w:spacing w:line="360" w:lineRule="auto"/>
        <w:rPr>
          <w:b/>
          <w:bCs/>
        </w:rPr>
      </w:pPr>
      <w:r w:rsidRPr="00BE1AE8">
        <w:rPr>
          <w:rFonts w:hint="eastAsia"/>
          <w:sz w:val="24"/>
          <w:szCs w:val="24"/>
        </w:rPr>
        <w:t>J</w:t>
      </w:r>
      <w:r w:rsidRPr="00BE1AE8">
        <w:rPr>
          <w:sz w:val="24"/>
          <w:szCs w:val="24"/>
        </w:rPr>
        <w:t>ing Fang</w:t>
      </w:r>
      <w:r w:rsidRPr="00BE1AE8">
        <w:rPr>
          <w:sz w:val="24"/>
          <w:szCs w:val="24"/>
          <w:vertAlign w:val="superscript"/>
        </w:rPr>
        <w:t>*1-5</w:t>
      </w:r>
      <w:r w:rsidRPr="00BE1AE8">
        <w:rPr>
          <w:sz w:val="24"/>
          <w:szCs w:val="24"/>
        </w:rPr>
        <w:t xml:space="preserve">, </w:t>
      </w:r>
      <w:bookmarkStart w:id="1" w:name="_Hlk42640841"/>
      <w:r w:rsidRPr="00BE1AE8">
        <w:rPr>
          <w:sz w:val="24"/>
          <w:szCs w:val="24"/>
        </w:rPr>
        <w:t>Yue Chen</w:t>
      </w:r>
      <w:r w:rsidRPr="00BE1AE8">
        <w:rPr>
          <w:sz w:val="24"/>
          <w:szCs w:val="24"/>
          <w:vertAlign w:val="superscript"/>
        </w:rPr>
        <w:t>*1</w:t>
      </w:r>
      <w:r w:rsidRPr="00BE1AE8">
        <w:rPr>
          <w:sz w:val="24"/>
          <w:szCs w:val="24"/>
        </w:rPr>
        <w:t>, Ming Hu</w:t>
      </w:r>
      <w:r w:rsidRPr="00BE1AE8">
        <w:rPr>
          <w:sz w:val="24"/>
          <w:szCs w:val="24"/>
          <w:vertAlign w:val="superscript"/>
        </w:rPr>
        <w:t>*</w:t>
      </w:r>
      <w:r>
        <w:rPr>
          <w:sz w:val="24"/>
          <w:szCs w:val="24"/>
          <w:vertAlign w:val="superscript"/>
        </w:rPr>
        <w:t>6</w:t>
      </w:r>
      <w:r w:rsidRPr="001054CC">
        <w:rPr>
          <w:sz w:val="24"/>
          <w:szCs w:val="24"/>
        </w:rPr>
        <w:t>,</w:t>
      </w:r>
      <w:r>
        <w:rPr>
          <w:sz w:val="24"/>
          <w:szCs w:val="24"/>
        </w:rPr>
        <w:t xml:space="preserve"> </w:t>
      </w:r>
      <w:r w:rsidRPr="00BE1AE8">
        <w:rPr>
          <w:sz w:val="24"/>
          <w:szCs w:val="24"/>
        </w:rPr>
        <w:t>Rui Li</w:t>
      </w:r>
      <w:r w:rsidRPr="00BE1AE8">
        <w:rPr>
          <w:sz w:val="24"/>
          <w:szCs w:val="24"/>
          <w:vertAlign w:val="superscript"/>
        </w:rPr>
        <w:t>1-5</w:t>
      </w:r>
      <w:r w:rsidRPr="001054CC">
        <w:rPr>
          <w:sz w:val="24"/>
          <w:szCs w:val="24"/>
        </w:rPr>
        <w:t>,</w:t>
      </w:r>
      <w:r>
        <w:rPr>
          <w:sz w:val="24"/>
          <w:szCs w:val="24"/>
        </w:rPr>
        <w:t xml:space="preserve"> </w:t>
      </w:r>
      <w:r w:rsidRPr="00BE1AE8">
        <w:rPr>
          <w:sz w:val="24"/>
          <w:szCs w:val="24"/>
        </w:rPr>
        <w:t>Juan-Juan Qin</w:t>
      </w:r>
      <w:r>
        <w:rPr>
          <w:sz w:val="24"/>
          <w:szCs w:val="24"/>
          <w:vertAlign w:val="superscript"/>
        </w:rPr>
        <w:t>7</w:t>
      </w:r>
      <w:r w:rsidRPr="00BE1AE8">
        <w:rPr>
          <w:sz w:val="24"/>
          <w:szCs w:val="24"/>
          <w:vertAlign w:val="superscript"/>
        </w:rPr>
        <w:t>,</w:t>
      </w:r>
      <w:r>
        <w:rPr>
          <w:sz w:val="24"/>
          <w:szCs w:val="24"/>
          <w:vertAlign w:val="superscript"/>
        </w:rPr>
        <w:t>8</w:t>
      </w:r>
      <w:r w:rsidRPr="00BE1AE8">
        <w:rPr>
          <w:sz w:val="24"/>
          <w:szCs w:val="24"/>
        </w:rPr>
        <w:t>,</w:t>
      </w:r>
      <w:bookmarkEnd w:id="1"/>
      <w:r w:rsidRPr="00BE1AE8">
        <w:rPr>
          <w:sz w:val="24"/>
          <w:szCs w:val="24"/>
        </w:rPr>
        <w:t xml:space="preserve"> Lin Cheng</w:t>
      </w:r>
      <w:r w:rsidRPr="00BE1AE8">
        <w:rPr>
          <w:sz w:val="24"/>
          <w:szCs w:val="24"/>
          <w:vertAlign w:val="superscript"/>
        </w:rPr>
        <w:t>1</w:t>
      </w:r>
      <w:r w:rsidRPr="00BE1AE8">
        <w:rPr>
          <w:sz w:val="24"/>
          <w:szCs w:val="24"/>
        </w:rPr>
        <w:t>, Yi He</w:t>
      </w:r>
      <w:r w:rsidRPr="00BE1AE8">
        <w:rPr>
          <w:sz w:val="24"/>
          <w:szCs w:val="24"/>
          <w:vertAlign w:val="superscript"/>
        </w:rPr>
        <w:t>1</w:t>
      </w:r>
      <w:r w:rsidRPr="00BE1AE8">
        <w:rPr>
          <w:sz w:val="24"/>
          <w:szCs w:val="24"/>
        </w:rPr>
        <w:t>, Yi Li</w:t>
      </w:r>
      <w:r w:rsidRPr="00BE1AE8">
        <w:rPr>
          <w:sz w:val="24"/>
          <w:szCs w:val="24"/>
          <w:vertAlign w:val="superscript"/>
        </w:rPr>
        <w:t>1</w:t>
      </w:r>
      <w:r w:rsidRPr="00BE1AE8">
        <w:rPr>
          <w:sz w:val="24"/>
          <w:szCs w:val="24"/>
        </w:rPr>
        <w:t>, Qiang Zhou</w:t>
      </w:r>
      <w:r>
        <w:rPr>
          <w:sz w:val="24"/>
          <w:szCs w:val="24"/>
          <w:vertAlign w:val="superscript"/>
        </w:rPr>
        <w:t>9</w:t>
      </w:r>
      <w:r w:rsidRPr="00BE1AE8">
        <w:rPr>
          <w:sz w:val="24"/>
          <w:szCs w:val="24"/>
        </w:rPr>
        <w:t>, Daixing Zhou</w:t>
      </w:r>
      <w:r w:rsidRPr="00BE1AE8">
        <w:rPr>
          <w:sz w:val="24"/>
          <w:szCs w:val="24"/>
          <w:vertAlign w:val="superscript"/>
        </w:rPr>
        <w:t>1</w:t>
      </w:r>
      <w:r>
        <w:rPr>
          <w:sz w:val="24"/>
          <w:szCs w:val="24"/>
          <w:vertAlign w:val="superscript"/>
        </w:rPr>
        <w:t>0</w:t>
      </w:r>
      <w:r w:rsidRPr="00BE1AE8">
        <w:rPr>
          <w:sz w:val="24"/>
          <w:szCs w:val="24"/>
        </w:rPr>
        <w:t xml:space="preserve">, </w:t>
      </w:r>
      <w:r w:rsidRPr="00BE1AE8">
        <w:rPr>
          <w:rFonts w:hint="eastAsia"/>
          <w:sz w:val="24"/>
          <w:szCs w:val="24"/>
        </w:rPr>
        <w:t>J</w:t>
      </w:r>
      <w:r w:rsidRPr="00BE1AE8">
        <w:rPr>
          <w:sz w:val="24"/>
          <w:szCs w:val="24"/>
        </w:rPr>
        <w:t>un Chen</w:t>
      </w:r>
      <w:r w:rsidRPr="00BE1AE8">
        <w:rPr>
          <w:sz w:val="24"/>
          <w:szCs w:val="24"/>
          <w:vertAlign w:val="superscript"/>
        </w:rPr>
        <w:t>1-5</w:t>
      </w:r>
      <w:r w:rsidRPr="00BE1AE8">
        <w:rPr>
          <w:rFonts w:hint="eastAsia"/>
          <w:sz w:val="24"/>
          <w:szCs w:val="24"/>
        </w:rPr>
        <w:t>,</w:t>
      </w:r>
      <w:r w:rsidRPr="00BE1AE8">
        <w:rPr>
          <w:sz w:val="24"/>
          <w:szCs w:val="24"/>
        </w:rPr>
        <w:t xml:space="preserve"> Fei Huang</w:t>
      </w:r>
      <w:r w:rsidRPr="00BE1AE8">
        <w:rPr>
          <w:sz w:val="24"/>
          <w:szCs w:val="24"/>
          <w:vertAlign w:val="superscript"/>
        </w:rPr>
        <w:t>1</w:t>
      </w:r>
      <w:r w:rsidRPr="00BE1AE8">
        <w:rPr>
          <w:rFonts w:hint="eastAsia"/>
          <w:sz w:val="24"/>
          <w:szCs w:val="24"/>
        </w:rPr>
        <w:t>,</w:t>
      </w:r>
      <w:r w:rsidRPr="00BE1AE8">
        <w:rPr>
          <w:sz w:val="24"/>
          <w:szCs w:val="24"/>
        </w:rPr>
        <w:t xml:space="preserve"> Fang Lei</w:t>
      </w:r>
      <w:r>
        <w:rPr>
          <w:sz w:val="24"/>
          <w:szCs w:val="24"/>
          <w:vertAlign w:val="superscript"/>
        </w:rPr>
        <w:t>8</w:t>
      </w:r>
      <w:r w:rsidRPr="00BE1AE8">
        <w:rPr>
          <w:sz w:val="24"/>
          <w:szCs w:val="24"/>
          <w:vertAlign w:val="superscript"/>
        </w:rPr>
        <w:t>,1</w:t>
      </w:r>
      <w:r>
        <w:rPr>
          <w:sz w:val="24"/>
          <w:szCs w:val="24"/>
          <w:vertAlign w:val="superscript"/>
        </w:rPr>
        <w:t>1</w:t>
      </w:r>
      <w:r w:rsidRPr="00BE1AE8">
        <w:rPr>
          <w:sz w:val="24"/>
          <w:szCs w:val="24"/>
        </w:rPr>
        <w:t xml:space="preserve">, </w:t>
      </w:r>
      <w:r w:rsidRPr="00BE1AE8">
        <w:rPr>
          <w:rFonts w:hint="eastAsia"/>
          <w:sz w:val="24"/>
          <w:szCs w:val="24"/>
        </w:rPr>
        <w:t>B</w:t>
      </w:r>
      <w:r w:rsidRPr="00BE1AE8">
        <w:rPr>
          <w:sz w:val="24"/>
          <w:szCs w:val="24"/>
        </w:rPr>
        <w:t>o Yang</w:t>
      </w:r>
      <w:r w:rsidRPr="00BE1AE8">
        <w:rPr>
          <w:sz w:val="24"/>
          <w:szCs w:val="24"/>
          <w:vertAlign w:val="superscript"/>
        </w:rPr>
        <w:t>1</w:t>
      </w:r>
      <w:r>
        <w:rPr>
          <w:sz w:val="24"/>
          <w:szCs w:val="24"/>
          <w:vertAlign w:val="superscript"/>
        </w:rPr>
        <w:t>2</w:t>
      </w:r>
      <w:r w:rsidRPr="00BE1AE8">
        <w:rPr>
          <w:sz w:val="24"/>
          <w:szCs w:val="24"/>
        </w:rPr>
        <w:t>, Hongping Deng</w:t>
      </w:r>
      <w:r w:rsidRPr="00BE1AE8">
        <w:rPr>
          <w:sz w:val="24"/>
          <w:szCs w:val="24"/>
          <w:vertAlign w:val="superscript"/>
        </w:rPr>
        <w:t>1</w:t>
      </w:r>
      <w:r>
        <w:rPr>
          <w:sz w:val="24"/>
          <w:szCs w:val="24"/>
          <w:vertAlign w:val="superscript"/>
        </w:rPr>
        <w:t>3</w:t>
      </w:r>
      <w:r w:rsidRPr="00BE1AE8">
        <w:rPr>
          <w:sz w:val="24"/>
          <w:szCs w:val="24"/>
        </w:rPr>
        <w:t>, Yufeng Yuan</w:t>
      </w:r>
      <w:r w:rsidRPr="00BE1AE8">
        <w:rPr>
          <w:sz w:val="24"/>
          <w:szCs w:val="24"/>
          <w:vertAlign w:val="superscript"/>
        </w:rPr>
        <w:t>1</w:t>
      </w:r>
      <w:r>
        <w:rPr>
          <w:sz w:val="24"/>
          <w:szCs w:val="24"/>
          <w:vertAlign w:val="superscript"/>
        </w:rPr>
        <w:t>4</w:t>
      </w:r>
      <w:r w:rsidRPr="00BE1AE8">
        <w:rPr>
          <w:rFonts w:hint="eastAsia"/>
          <w:sz w:val="24"/>
          <w:szCs w:val="24"/>
        </w:rPr>
        <w:t>,</w:t>
      </w:r>
      <w:r w:rsidRPr="00BE1AE8">
        <w:rPr>
          <w:sz w:val="24"/>
          <w:szCs w:val="24"/>
        </w:rPr>
        <w:t xml:space="preserve"> Jiahong Xia</w:t>
      </w:r>
      <w:r w:rsidRPr="00BE1AE8">
        <w:rPr>
          <w:sz w:val="24"/>
          <w:szCs w:val="24"/>
          <w:vertAlign w:val="superscript"/>
        </w:rPr>
        <w:t>1</w:t>
      </w:r>
      <w:r>
        <w:rPr>
          <w:sz w:val="24"/>
          <w:szCs w:val="24"/>
          <w:vertAlign w:val="superscript"/>
        </w:rPr>
        <w:t>5</w:t>
      </w:r>
      <w:r w:rsidRPr="00BE1AE8">
        <w:rPr>
          <w:sz w:val="24"/>
          <w:szCs w:val="24"/>
        </w:rPr>
        <w:t xml:space="preserve">, </w:t>
      </w:r>
      <w:r w:rsidRPr="00BE1AE8">
        <w:rPr>
          <w:rFonts w:hint="eastAsia"/>
          <w:sz w:val="24"/>
          <w:szCs w:val="24"/>
        </w:rPr>
        <w:t>H</w:t>
      </w:r>
      <w:r w:rsidRPr="00BE1AE8">
        <w:rPr>
          <w:sz w:val="24"/>
          <w:szCs w:val="24"/>
        </w:rPr>
        <w:t>ongliang Li</w:t>
      </w:r>
      <w:r>
        <w:rPr>
          <w:sz w:val="24"/>
          <w:szCs w:val="24"/>
          <w:vertAlign w:val="superscript"/>
        </w:rPr>
        <w:t>7,8</w:t>
      </w:r>
      <w:r w:rsidRPr="00BE1AE8">
        <w:rPr>
          <w:sz w:val="24"/>
          <w:szCs w:val="24"/>
        </w:rPr>
        <w:t>,</w:t>
      </w:r>
      <w:r w:rsidRPr="00BE1AE8">
        <w:rPr>
          <w:rFonts w:hint="eastAsia"/>
          <w:sz w:val="24"/>
          <w:szCs w:val="24"/>
        </w:rPr>
        <w:t xml:space="preserve"> </w:t>
      </w:r>
      <w:bookmarkStart w:id="2" w:name="OLE_LINK21"/>
      <w:r w:rsidRPr="00BE1AE8">
        <w:rPr>
          <w:sz w:val="24"/>
          <w:szCs w:val="24"/>
        </w:rPr>
        <w:t>Chaolin Huang</w:t>
      </w:r>
      <w:bookmarkEnd w:id="2"/>
      <w:r w:rsidRPr="00BE1AE8">
        <w:rPr>
          <w:sz w:val="20"/>
          <w:szCs w:val="20"/>
          <w:vertAlign w:val="superscript"/>
        </w:rPr>
        <w:t>§</w:t>
      </w:r>
      <w:r>
        <w:rPr>
          <w:sz w:val="24"/>
          <w:szCs w:val="24"/>
          <w:vertAlign w:val="superscript"/>
        </w:rPr>
        <w:t>16</w:t>
      </w:r>
      <w:r w:rsidRPr="001054CC">
        <w:rPr>
          <w:sz w:val="24"/>
          <w:szCs w:val="24"/>
        </w:rPr>
        <w:t>,</w:t>
      </w:r>
      <w:r>
        <w:rPr>
          <w:sz w:val="24"/>
          <w:szCs w:val="24"/>
        </w:rPr>
        <w:t xml:space="preserve"> </w:t>
      </w:r>
      <w:r w:rsidRPr="00BE1AE8">
        <w:rPr>
          <w:sz w:val="24"/>
          <w:szCs w:val="24"/>
        </w:rPr>
        <w:t>Song Wan</w:t>
      </w:r>
      <w:r w:rsidRPr="00BE1AE8">
        <w:rPr>
          <w:sz w:val="20"/>
          <w:szCs w:val="20"/>
          <w:vertAlign w:val="superscript"/>
        </w:rPr>
        <w:t>§</w:t>
      </w:r>
      <w:r w:rsidRPr="00BE1AE8">
        <w:rPr>
          <w:sz w:val="24"/>
          <w:szCs w:val="24"/>
          <w:vertAlign w:val="superscript"/>
        </w:rPr>
        <w:t>17</w:t>
      </w:r>
      <w:r w:rsidRPr="00BE1AE8">
        <w:rPr>
          <w:sz w:val="24"/>
          <w:szCs w:val="24"/>
        </w:rPr>
        <w:t>,Xiang Wei</w:t>
      </w:r>
      <w:r w:rsidRPr="00BE1AE8">
        <w:rPr>
          <w:sz w:val="20"/>
          <w:szCs w:val="20"/>
          <w:vertAlign w:val="superscript"/>
        </w:rPr>
        <w:t>§</w:t>
      </w:r>
      <w:r w:rsidRPr="00BE1AE8">
        <w:rPr>
          <w:sz w:val="24"/>
          <w:szCs w:val="24"/>
          <w:vertAlign w:val="superscript"/>
        </w:rPr>
        <w:t>1-</w:t>
      </w:r>
      <w:r w:rsidR="005B7321">
        <w:rPr>
          <w:sz w:val="24"/>
          <w:szCs w:val="24"/>
          <w:vertAlign w:val="superscript"/>
        </w:rPr>
        <w:t>5</w:t>
      </w:r>
    </w:p>
    <w:p w14:paraId="2AB67466" w14:textId="1A69AD1E" w:rsidR="00C63070" w:rsidRPr="001662FC" w:rsidRDefault="00CF0D29" w:rsidP="001662FC">
      <w:pPr>
        <w:spacing w:line="480" w:lineRule="auto"/>
        <w:jc w:val="center"/>
        <w:rPr>
          <w:b/>
          <w:bCs/>
        </w:rPr>
      </w:pPr>
      <w:r w:rsidRPr="001662FC">
        <w:rPr>
          <w:rFonts w:hint="eastAsia"/>
          <w:b/>
          <w:bCs/>
        </w:rPr>
        <w:t>O</w:t>
      </w:r>
      <w:r w:rsidRPr="001662FC">
        <w:rPr>
          <w:b/>
          <w:bCs/>
        </w:rPr>
        <w:t>nline data supplement</w:t>
      </w:r>
      <w:bookmarkStart w:id="3" w:name="_GoBack"/>
      <w:bookmarkEnd w:id="3"/>
    </w:p>
    <w:p w14:paraId="166CC190" w14:textId="3D81C30D" w:rsidR="00CF0D29" w:rsidRDefault="00CF0D29" w:rsidP="001662FC">
      <w:pPr>
        <w:spacing w:line="480" w:lineRule="auto"/>
      </w:pPr>
    </w:p>
    <w:p w14:paraId="36249D32" w14:textId="61C37189" w:rsidR="001662FC" w:rsidRPr="001662FC" w:rsidRDefault="001662FC" w:rsidP="001662FC">
      <w:pPr>
        <w:spacing w:line="480" w:lineRule="auto"/>
        <w:rPr>
          <w:b/>
          <w:bCs/>
        </w:rPr>
      </w:pPr>
      <w:r w:rsidRPr="001662FC">
        <w:rPr>
          <w:rFonts w:hint="eastAsia"/>
          <w:b/>
          <w:bCs/>
        </w:rPr>
        <w:t>M</w:t>
      </w:r>
      <w:r w:rsidRPr="001662FC">
        <w:rPr>
          <w:b/>
          <w:bCs/>
        </w:rPr>
        <w:t>ETHODS</w:t>
      </w:r>
    </w:p>
    <w:p w14:paraId="167CC72A" w14:textId="77777777" w:rsidR="00CF0D29" w:rsidRPr="000E1F6F" w:rsidRDefault="00CF0D29" w:rsidP="001662FC">
      <w:pPr>
        <w:spacing w:line="480" w:lineRule="auto"/>
        <w:rPr>
          <w:i/>
          <w:iCs/>
        </w:rPr>
      </w:pPr>
      <w:bookmarkStart w:id="4" w:name="_Hlk44077025"/>
      <w:r w:rsidRPr="000E1F6F">
        <w:rPr>
          <w:i/>
          <w:iCs/>
        </w:rPr>
        <w:t>Initiation, management, and weaning of ECMO</w:t>
      </w:r>
    </w:p>
    <w:bookmarkEnd w:id="4"/>
    <w:p w14:paraId="4BF15C51" w14:textId="4DC878C8" w:rsidR="00CF0D29" w:rsidRPr="000E1F6F" w:rsidRDefault="00CF0D29" w:rsidP="001662FC">
      <w:pPr>
        <w:spacing w:line="480" w:lineRule="auto"/>
      </w:pPr>
      <w:r w:rsidRPr="000E1F6F">
        <w:t>The indications and contradictions of ECMO therapy were determined by the local ECMO team in accordance with the Guidelines on the Diagnosis and Treatment for New Coronavirus Pneumonia of Severe</w:t>
      </w:r>
      <w:r>
        <w:t>ly</w:t>
      </w:r>
      <w:r w:rsidRPr="000E1F6F">
        <w:t xml:space="preserve"> and Critically Ill Patients (2</w:t>
      </w:r>
      <w:r w:rsidRPr="000E1F6F">
        <w:rPr>
          <w:vertAlign w:val="superscript"/>
        </w:rPr>
        <w:t>nd</w:t>
      </w:r>
      <w:r w:rsidRPr="000E1F6F">
        <w:t xml:space="preserve"> edition) released by the National Health Commission of the People’s Republic of China. The multidisciplinary ECMO team comprised intensive care specialists, cardiac surgeons, perfusionists, and nursing personnel. ECMO was considered when protective ventilation and prone-position ventilation were ineffective and one or more of the following criteria were met, despite the application of an optimal ventilatory strategy (fraction of inspired oxygen [FiO</w:t>
      </w:r>
      <w:r w:rsidRPr="000E1F6F">
        <w:rPr>
          <w:vertAlign w:val="subscript"/>
        </w:rPr>
        <w:t>2</w:t>
      </w:r>
      <w:r w:rsidRPr="000E1F6F">
        <w:t>]</w:t>
      </w:r>
      <w:r w:rsidRPr="000E1F6F">
        <w:rPr>
          <w:vertAlign w:val="subscript"/>
        </w:rPr>
        <w:t xml:space="preserve"> </w:t>
      </w:r>
      <w:r w:rsidRPr="000E1F6F">
        <w:t>≥ 0</w:t>
      </w:r>
      <w:r w:rsidR="00D22CDF">
        <w:rPr>
          <w:rFonts w:hint="eastAsia"/>
        </w:rPr>
        <w:t>.</w:t>
      </w:r>
      <w:r w:rsidRPr="000E1F6F">
        <w:t>8, tidal volume of 6 ml/kg of predicted body weight, positive end-expiratory pressure [PEEP] ≥ 10 cmH</w:t>
      </w:r>
      <w:r w:rsidRPr="000E1F6F">
        <w:rPr>
          <w:vertAlign w:val="subscript"/>
        </w:rPr>
        <w:t>2</w:t>
      </w:r>
      <w:r w:rsidRPr="000E1F6F">
        <w:t>O): 1) partial pressure of oxygen (PaO</w:t>
      </w:r>
      <w:r w:rsidRPr="000E1F6F">
        <w:rPr>
          <w:vertAlign w:val="subscript"/>
        </w:rPr>
        <w:t>2</w:t>
      </w:r>
      <w:r w:rsidRPr="000E1F6F">
        <w:t>):FiO</w:t>
      </w:r>
      <w:r w:rsidRPr="000E1F6F">
        <w:rPr>
          <w:vertAlign w:val="subscript"/>
        </w:rPr>
        <w:t xml:space="preserve">2 </w:t>
      </w:r>
      <w:r w:rsidRPr="000E1F6F">
        <w:t>&lt; 50 mmHg for &gt; 3 hours; 2) PaO</w:t>
      </w:r>
      <w:r w:rsidRPr="000E1F6F">
        <w:rPr>
          <w:vertAlign w:val="subscript"/>
        </w:rPr>
        <w:t>2</w:t>
      </w:r>
      <w:r w:rsidRPr="000E1F6F">
        <w:t>:FiO</w:t>
      </w:r>
      <w:r w:rsidRPr="000E1F6F">
        <w:rPr>
          <w:vertAlign w:val="subscript"/>
        </w:rPr>
        <w:t xml:space="preserve">2 </w:t>
      </w:r>
      <w:r w:rsidRPr="000E1F6F">
        <w:t>&lt; 80 mmHg for &gt; 6 hours; 3) PaO</w:t>
      </w:r>
      <w:r w:rsidRPr="000E1F6F">
        <w:rPr>
          <w:vertAlign w:val="subscript"/>
        </w:rPr>
        <w:t>2</w:t>
      </w:r>
      <w:r w:rsidRPr="000E1F6F">
        <w:t>:FiO</w:t>
      </w:r>
      <w:r w:rsidRPr="000E1F6F">
        <w:rPr>
          <w:vertAlign w:val="subscript"/>
        </w:rPr>
        <w:t xml:space="preserve">2 </w:t>
      </w:r>
      <w:r w:rsidRPr="000E1F6F">
        <w:t>&lt; 100 mmHg at a FiO</w:t>
      </w:r>
      <w:r w:rsidRPr="000E1F6F">
        <w:rPr>
          <w:vertAlign w:val="subscript"/>
        </w:rPr>
        <w:t>2</w:t>
      </w:r>
      <w:r w:rsidRPr="000E1F6F">
        <w:t xml:space="preserve"> = 1</w:t>
      </w:r>
      <w:r w:rsidR="00D22CDF">
        <w:t>.</w:t>
      </w:r>
      <w:r w:rsidRPr="000E1F6F">
        <w:t>0; 4) arterial pH &lt; 7</w:t>
      </w:r>
      <w:r w:rsidR="00D22CDF">
        <w:t>.</w:t>
      </w:r>
      <w:r w:rsidRPr="000E1F6F">
        <w:t>25 and PaCO</w:t>
      </w:r>
      <w:r w:rsidRPr="000E1F6F">
        <w:rPr>
          <w:vertAlign w:val="subscript"/>
        </w:rPr>
        <w:t>2</w:t>
      </w:r>
      <w:r w:rsidRPr="000E1F6F">
        <w:t xml:space="preserve"> &gt; 60 mmHg for &gt; 6 hours with a respiratory rate &gt; 35 breaths/minute; 5) arterial pH &lt; 7</w:t>
      </w:r>
      <w:r w:rsidR="00D22CDF">
        <w:t>.</w:t>
      </w:r>
      <w:r w:rsidRPr="000E1F6F">
        <w:t>20 with a respiratory rate &gt; 35 breaths/minute and plateau pressure &gt; 30 cmH</w:t>
      </w:r>
      <w:r w:rsidRPr="000E1F6F">
        <w:rPr>
          <w:vertAlign w:val="subscript"/>
        </w:rPr>
        <w:t>2</w:t>
      </w:r>
      <w:r w:rsidRPr="000E1F6F">
        <w:t>O; 6) cardiogenic shock or cardiac arrest. Relative contradictions included 1) a combination of irreversible diseases; 2) contradictions to anticoagulation; 3) mechanical ventilation for &gt;7 days under high ventilatory settings (FiO</w:t>
      </w:r>
      <w:r w:rsidRPr="000E1F6F">
        <w:rPr>
          <w:vertAlign w:val="subscript"/>
        </w:rPr>
        <w:t>2</w:t>
      </w:r>
      <w:r w:rsidRPr="000E1F6F">
        <w:t xml:space="preserve"> &gt; 0</w:t>
      </w:r>
      <w:r w:rsidR="00D22CDF">
        <w:t>.</w:t>
      </w:r>
      <w:r w:rsidRPr="000E1F6F">
        <w:t>9 and plateau pressure &gt; 30 cmH</w:t>
      </w:r>
      <w:r w:rsidRPr="000E1F6F">
        <w:rPr>
          <w:vertAlign w:val="subscript"/>
        </w:rPr>
        <w:t>2</w:t>
      </w:r>
      <w:r w:rsidRPr="000E1F6F">
        <w:t xml:space="preserve">O); 4) immunocompromised status; or 5) lack of vascular access for ECMO because of </w:t>
      </w:r>
      <w:r w:rsidRPr="000E1F6F">
        <w:lastRenderedPageBreak/>
        <w:t>vascular deformity. Veno</w:t>
      </w:r>
      <w:r w:rsidR="00EF0835">
        <w:t>-</w:t>
      </w:r>
      <w:r w:rsidRPr="000E1F6F">
        <w:t>venous (V-V) ECMO was preferred for patients with normal cardiac function. Veno</w:t>
      </w:r>
      <w:r w:rsidR="00EF0835">
        <w:t>-</w:t>
      </w:r>
      <w:r w:rsidRPr="000E1F6F">
        <w:t>arterial (V-A) ECMO was applied when cardiogenic shock was confirmed. ECMO management and weaning were performed at the multidisciplinary team’s discretion when the lung function had improved and lung abnormalities were resolved. The details and weaning course were as previously described</w:t>
      </w:r>
      <w:r w:rsidR="00D22CDF">
        <w:rPr>
          <w:color w:val="080000"/>
          <w:kern w:val="0"/>
        </w:rPr>
        <w:t xml:space="preserve"> </w:t>
      </w:r>
      <w:r w:rsidR="005C0E2C">
        <w:rPr>
          <w:color w:val="080000"/>
          <w:kern w:val="0"/>
        </w:rPr>
        <w:t>[1]</w:t>
      </w:r>
      <w:r w:rsidR="00D22CDF">
        <w:rPr>
          <w:color w:val="080000"/>
          <w:kern w:val="0"/>
        </w:rPr>
        <w:t>.</w:t>
      </w:r>
    </w:p>
    <w:p w14:paraId="056F62E6" w14:textId="77777777" w:rsidR="00CF0D29" w:rsidRPr="000E1F6F" w:rsidRDefault="00CF0D29" w:rsidP="001662FC">
      <w:pPr>
        <w:spacing w:line="480" w:lineRule="auto"/>
      </w:pPr>
    </w:p>
    <w:p w14:paraId="1D31D25F" w14:textId="77777777" w:rsidR="00CF0D29" w:rsidRPr="000E1F6F" w:rsidRDefault="00CF0D29" w:rsidP="001662FC">
      <w:pPr>
        <w:spacing w:line="480" w:lineRule="auto"/>
        <w:rPr>
          <w:i/>
          <w:iCs/>
        </w:rPr>
      </w:pPr>
      <w:bookmarkStart w:id="5" w:name="_Hlk44077158"/>
      <w:r w:rsidRPr="000E1F6F">
        <w:rPr>
          <w:i/>
          <w:iCs/>
        </w:rPr>
        <w:t>Data collection</w:t>
      </w:r>
    </w:p>
    <w:bookmarkEnd w:id="5"/>
    <w:p w14:paraId="1B603E90" w14:textId="77777777" w:rsidR="00CF0D29" w:rsidRPr="000E1F6F" w:rsidRDefault="00CF0D29" w:rsidP="001662FC">
      <w:pPr>
        <w:spacing w:line="480" w:lineRule="auto"/>
      </w:pPr>
      <w:r w:rsidRPr="000E1F6F">
        <w:t>We obtained the electronic medical records from hospitals and extracted data concerning the patients’ demographic information, comorbidities, medical histories, laboratory and image examination findings, inpatient medications, medical orders, treatments, daily progress notes, nursing records, and final outcomes (i.e., ICU discharge, hospital discharge, and mortality). The patients’ names and IDs were anonymized to protect privacy before data extraction. All data were reviewed by experienced clinicians, entered in a computerized database, and double-checked. If essential data were missing in the electronic records, we contacted the corresponding physicians-in-charge directly.</w:t>
      </w:r>
    </w:p>
    <w:p w14:paraId="7636BAF1" w14:textId="475B6185" w:rsidR="00CF0D29" w:rsidRDefault="00CF0D29" w:rsidP="001662FC">
      <w:pPr>
        <w:spacing w:line="480" w:lineRule="auto"/>
      </w:pPr>
    </w:p>
    <w:p w14:paraId="30F63678" w14:textId="77777777" w:rsidR="00CF0D29" w:rsidRPr="000E1F6F" w:rsidRDefault="00CF0D29" w:rsidP="001662FC">
      <w:pPr>
        <w:spacing w:line="480" w:lineRule="auto"/>
        <w:rPr>
          <w:i/>
          <w:iCs/>
        </w:rPr>
      </w:pPr>
      <w:r w:rsidRPr="000E1F6F">
        <w:rPr>
          <w:i/>
          <w:iCs/>
        </w:rPr>
        <w:t>Definitions</w:t>
      </w:r>
    </w:p>
    <w:p w14:paraId="70947634" w14:textId="0F0DE74A" w:rsidR="00CF0D29" w:rsidRDefault="00CF0D29" w:rsidP="001662FC">
      <w:pPr>
        <w:spacing w:line="480" w:lineRule="auto"/>
      </w:pPr>
      <w:r w:rsidRPr="000E1F6F">
        <w:t xml:space="preserve">The onset of COVID-19 was defined as the first date when the symptoms were noticed. </w:t>
      </w:r>
      <w:bookmarkStart w:id="6" w:name="_Hlk44077533"/>
      <w:r w:rsidRPr="000E1F6F">
        <w:t xml:space="preserve">Patients who were successfully weaned from ECMO and remained alive for at least 48 h were classified as the weaned group. Patients who died despite receiving ECMO therapy or remained on ECMO until </w:t>
      </w:r>
      <w:r w:rsidR="00D22CDF">
        <w:t>June</w:t>
      </w:r>
      <w:r w:rsidRPr="000E1F6F">
        <w:t xml:space="preserve"> 30, 2020, were classified as the non-weaned group. </w:t>
      </w:r>
      <w:bookmarkEnd w:id="6"/>
      <w:r w:rsidRPr="000E1F6F">
        <w:t>Acute kidney injury was identified as an increase ≥ 26</w:t>
      </w:r>
      <w:r w:rsidR="00D22CDF">
        <w:t>.</w:t>
      </w:r>
      <w:r w:rsidRPr="000E1F6F">
        <w:t>5 μmol/L in the serum creatinine concentration within 48 hours</w:t>
      </w:r>
      <w:r w:rsidR="00D22CDF">
        <w:rPr>
          <w:color w:val="080000"/>
          <w:kern w:val="0"/>
        </w:rPr>
        <w:t xml:space="preserve"> </w:t>
      </w:r>
      <w:r w:rsidR="005C0E2C">
        <w:rPr>
          <w:color w:val="080000"/>
          <w:kern w:val="0"/>
        </w:rPr>
        <w:t>[2]</w:t>
      </w:r>
      <w:r w:rsidR="00D22CDF">
        <w:rPr>
          <w:color w:val="080000"/>
          <w:kern w:val="0"/>
        </w:rPr>
        <w:t>.</w:t>
      </w:r>
      <w:r w:rsidRPr="000E1F6F">
        <w:t xml:space="preserve"> Acute cardiac injury was identified as a serum cardiac troponin I (cTnI) concentration above the upper limit of normal (ULN). Acute hepatic injury was defined as an increase in the serum aspartate aminotransferase or alanine aminotransferase (ALT) concentration to more than three </w:t>
      </w:r>
      <w:r w:rsidRPr="000E1F6F">
        <w:lastRenderedPageBreak/>
        <w:t>times the ULN</w:t>
      </w:r>
      <w:r w:rsidR="00D22CDF">
        <w:t xml:space="preserve"> </w:t>
      </w:r>
      <w:r w:rsidR="005C0E2C">
        <w:rPr>
          <w:color w:val="080000"/>
          <w:kern w:val="0"/>
        </w:rPr>
        <w:t>[3]</w:t>
      </w:r>
      <w:r w:rsidR="00D22CDF">
        <w:rPr>
          <w:color w:val="080000"/>
          <w:kern w:val="0"/>
        </w:rPr>
        <w:t>.</w:t>
      </w:r>
      <w:r w:rsidRPr="000E1F6F">
        <w:t xml:space="preserve"> Disseminated intravascular coagulation (DIC) was defined according to the criteria set by the International Society on Thrombosis and Hemostasis</w:t>
      </w:r>
      <w:r w:rsidR="00D22CDF">
        <w:rPr>
          <w:color w:val="080000"/>
          <w:kern w:val="0"/>
        </w:rPr>
        <w:t xml:space="preserve"> </w:t>
      </w:r>
      <w:r w:rsidR="005C0E2C">
        <w:rPr>
          <w:color w:val="080000"/>
          <w:kern w:val="0"/>
        </w:rPr>
        <w:t>[4]</w:t>
      </w:r>
      <w:r w:rsidR="00D22CDF">
        <w:rPr>
          <w:color w:val="080000"/>
          <w:kern w:val="0"/>
        </w:rPr>
        <w:t>.</w:t>
      </w:r>
      <w:r w:rsidRPr="000E1F6F">
        <w:t xml:space="preserve"> The following criteria for discharge were applied as recommended by the guidelines: i) throat swab or sputum specimens collected at an interval of at least 24 hours yielded negative SARS-CoV-2 test results; ii) body temperature was normal for 3 consecutive days; iii) symptoms of COVID-19 were resolved; and iv) chest computed tomography manifestations of COVID-19 had significantly improved. Nosocomial infection was diagnosed in patients who exhibited signs of bacteremia or pneumonia and a positive pathogen culture from lower respiratory tract specimens (e.g., qualified sputum, endotracheal aspirate, or bronchoalveolar lavage fluid) or blood samples at 48 hours after hospital admission.</w:t>
      </w:r>
    </w:p>
    <w:p w14:paraId="510564A1" w14:textId="2A7EC78F" w:rsidR="009F228F" w:rsidRDefault="009F228F" w:rsidP="001662FC">
      <w:pPr>
        <w:spacing w:line="480" w:lineRule="auto"/>
      </w:pPr>
    </w:p>
    <w:p w14:paraId="1DCD8ADC" w14:textId="77777777" w:rsidR="009F228F" w:rsidRPr="000E1F6F" w:rsidRDefault="009F228F" w:rsidP="001662FC">
      <w:pPr>
        <w:autoSpaceDE w:val="0"/>
        <w:autoSpaceDN w:val="0"/>
        <w:adjustRightInd w:val="0"/>
        <w:spacing w:line="480" w:lineRule="auto"/>
        <w:jc w:val="left"/>
        <w:rPr>
          <w:i/>
          <w:iCs/>
        </w:rPr>
      </w:pPr>
      <w:r w:rsidRPr="000E1F6F">
        <w:rPr>
          <w:i/>
          <w:iCs/>
        </w:rPr>
        <w:t>Propensity score-matched analysis</w:t>
      </w:r>
    </w:p>
    <w:p w14:paraId="39DBB50D" w14:textId="315DD978" w:rsidR="009F228F" w:rsidRDefault="009F228F" w:rsidP="001662FC">
      <w:pPr>
        <w:autoSpaceDE w:val="0"/>
        <w:autoSpaceDN w:val="0"/>
        <w:adjustRightInd w:val="0"/>
        <w:spacing w:line="480" w:lineRule="auto"/>
      </w:pPr>
      <w:r w:rsidRPr="000E1F6F">
        <w:t>Propensity score-matched cohorts of patients who received ECMO therapy or IMV-only therapy were created based on variables expected to be confounders associated with the outcomes of ECMO or IMV-only treatment. These variables included age, sex, comorbidities (hypertension, diabetes), and laboratory examination findings at ICU admission (lymphocyte count, C-reactive protein, creatine, total bilirubin, ALT, lactate dehydrogenase [LDH], N-terminal pro-hormone brain natriuretic peptide [NT-proBNP] or BNP, and D-dimer). Only patients who received V-V ECMO treatment were included in the ECMO group for this cohort analysis (Figure 1). We used non-parametric missing value imputation based on the missForest procedure on the R platform to account for missing laboratory variable data</w:t>
      </w:r>
      <w:r w:rsidR="00D22CDF">
        <w:t xml:space="preserve"> </w:t>
      </w:r>
      <w:r w:rsidR="005C0E2C">
        <w:rPr>
          <w:color w:val="080000"/>
          <w:kern w:val="0"/>
        </w:rPr>
        <w:t>[5]</w:t>
      </w:r>
      <w:r w:rsidR="00D22CDF">
        <w:rPr>
          <w:color w:val="080000"/>
          <w:kern w:val="0"/>
        </w:rPr>
        <w:t>.</w:t>
      </w:r>
      <w:r w:rsidRPr="000E1F6F">
        <w:t xml:space="preserve"> A random forest model that included the remaining variables in the data set was performed to predict the missing values for those variables. Internally cross-validated errors were also estimated. Moribund patients who were extremely ill died within 24 hours after ECMO or IMV initiation were excluded. ECMO and IMV-only patients were paired at a 1:1 ratio according to the propensity scores, using exact matching with a caliper size of 0</w:t>
      </w:r>
      <w:r>
        <w:t>.</w:t>
      </w:r>
      <w:r w:rsidRPr="000E1F6F">
        <w:t xml:space="preserve">05. The balance between covariates was evaluated by estimating </w:t>
      </w:r>
      <w:r w:rsidRPr="000E1F6F">
        <w:lastRenderedPageBreak/>
        <w:t>the standardized differences before and after matching. Only standardized differences with absolute values of &lt;0</w:t>
      </w:r>
      <w:r>
        <w:t>.</w:t>
      </w:r>
      <w:r w:rsidRPr="000E1F6F">
        <w:t xml:space="preserve">1 were considered to indicate qualified balancing. A mixed-effect Cox model was used to compare the two treatment groups in terms of the primary endpoint, which was </w:t>
      </w:r>
      <w:r w:rsidR="00D22CDF">
        <w:t>120</w:t>
      </w:r>
      <w:r w:rsidRPr="000E1F6F">
        <w:t>-day all-cause mortality after ICU admission during hospitalization.</w:t>
      </w:r>
    </w:p>
    <w:p w14:paraId="7985FA58" w14:textId="23E20C83" w:rsidR="00854BA1" w:rsidRDefault="00854BA1" w:rsidP="001662FC">
      <w:pPr>
        <w:autoSpaceDE w:val="0"/>
        <w:autoSpaceDN w:val="0"/>
        <w:adjustRightInd w:val="0"/>
        <w:spacing w:line="480" w:lineRule="auto"/>
      </w:pPr>
    </w:p>
    <w:p w14:paraId="3206D1E3" w14:textId="2F0320EB" w:rsidR="00854BA1" w:rsidRPr="00854BA1" w:rsidRDefault="00854BA1" w:rsidP="001662FC">
      <w:pPr>
        <w:autoSpaceDE w:val="0"/>
        <w:autoSpaceDN w:val="0"/>
        <w:adjustRightInd w:val="0"/>
        <w:spacing w:line="480" w:lineRule="auto"/>
        <w:rPr>
          <w:i/>
          <w:iCs/>
        </w:rPr>
      </w:pPr>
      <w:r w:rsidRPr="00854BA1">
        <w:rPr>
          <w:rFonts w:hint="eastAsia"/>
          <w:i/>
          <w:iCs/>
        </w:rPr>
        <w:t>M</w:t>
      </w:r>
      <w:r w:rsidRPr="00854BA1">
        <w:rPr>
          <w:i/>
          <w:iCs/>
        </w:rPr>
        <w:t>ixed-effect Cox Analysis</w:t>
      </w:r>
    </w:p>
    <w:p w14:paraId="2612A1A0" w14:textId="6FAFAD7E" w:rsidR="00854BA1" w:rsidRPr="000E1F6F" w:rsidRDefault="00854BA1" w:rsidP="001662FC">
      <w:pPr>
        <w:autoSpaceDE w:val="0"/>
        <w:autoSpaceDN w:val="0"/>
        <w:adjustRightInd w:val="0"/>
        <w:spacing w:line="480" w:lineRule="auto"/>
      </w:pPr>
      <w:r w:rsidRPr="000E1F6F">
        <w:t>The risk of reaching the primary endpoint and the corresponding hazard ratio (HR) were calculated using the mixed-effect Cox model and compared between the ECMO and IMV-only groups.</w:t>
      </w:r>
      <w:r w:rsidRPr="000E1F6F">
        <w:rPr>
          <w:color w:val="000000" w:themeColor="text1"/>
        </w:rPr>
        <w:t xml:space="preserve"> We adjusted multiple variables considered relevant to the endpoint, including age, sex, comorbidities (hypertension, chronic lung disease), laboratory examination findings at ICU admission (platelet, total bilirubin, LDH, NT-proBNP or BNP, creatinine, D-dimer), and treatments during the ICU stay (prone position ventilation, convalescent plasma). We modeled the site as a random effect in the mixed-effect Cox model. The proportional hazard assumptions were verified using correlation testing based on Schoenfeld residuals.</w:t>
      </w:r>
    </w:p>
    <w:p w14:paraId="5CBA7437" w14:textId="780955D1" w:rsidR="009F228F" w:rsidRPr="009F228F" w:rsidRDefault="009F228F" w:rsidP="00CF0D29">
      <w:pPr>
        <w:spacing w:line="360" w:lineRule="auto"/>
      </w:pPr>
    </w:p>
    <w:p w14:paraId="192E2C16" w14:textId="77777777" w:rsidR="009F228F" w:rsidRPr="000E1F6F" w:rsidRDefault="009F228F" w:rsidP="00CF0D29">
      <w:pPr>
        <w:spacing w:line="360" w:lineRule="auto"/>
      </w:pPr>
    </w:p>
    <w:p w14:paraId="6113E69A" w14:textId="1793D761" w:rsidR="005C0E2C" w:rsidRDefault="005C0E2C" w:rsidP="005C0E2C">
      <w:pPr>
        <w:autoSpaceDE w:val="0"/>
        <w:autoSpaceDN w:val="0"/>
        <w:adjustRightInd w:val="0"/>
        <w:jc w:val="left"/>
        <w:rPr>
          <w:kern w:val="0"/>
          <w:sz w:val="24"/>
          <w:szCs w:val="24"/>
        </w:rPr>
      </w:pPr>
    </w:p>
    <w:p w14:paraId="53828FDD" w14:textId="77777777" w:rsidR="005C0E2C" w:rsidRPr="005C0E2C" w:rsidRDefault="005C0E2C" w:rsidP="005C0E2C">
      <w:pPr>
        <w:autoSpaceDE w:val="0"/>
        <w:autoSpaceDN w:val="0"/>
        <w:adjustRightInd w:val="0"/>
        <w:spacing w:line="360" w:lineRule="auto"/>
        <w:ind w:left="283" w:hangingChars="128" w:hanging="283"/>
        <w:rPr>
          <w:kern w:val="0"/>
        </w:rPr>
      </w:pPr>
      <w:r w:rsidRPr="005C0E2C">
        <w:rPr>
          <w:b/>
          <w:bCs/>
          <w:color w:val="000000"/>
          <w:kern w:val="0"/>
        </w:rPr>
        <w:t>References:</w:t>
      </w:r>
    </w:p>
    <w:p w14:paraId="52D5FD08" w14:textId="29FC3E04" w:rsidR="005C0E2C" w:rsidRPr="00B520F2" w:rsidRDefault="005C0E2C" w:rsidP="005C0E2C">
      <w:pPr>
        <w:autoSpaceDE w:val="0"/>
        <w:autoSpaceDN w:val="0"/>
        <w:adjustRightInd w:val="0"/>
        <w:spacing w:line="360" w:lineRule="auto"/>
        <w:ind w:left="282" w:hangingChars="128" w:hanging="282"/>
        <w:rPr>
          <w:kern w:val="0"/>
        </w:rPr>
      </w:pPr>
      <w:r w:rsidRPr="005C0E2C">
        <w:rPr>
          <w:color w:val="000000"/>
          <w:kern w:val="0"/>
        </w:rPr>
        <w:t>1.</w:t>
      </w:r>
      <w:r w:rsidRPr="005C0E2C">
        <w:rPr>
          <w:color w:val="000000"/>
          <w:kern w:val="0"/>
        </w:rPr>
        <w:tab/>
      </w:r>
      <w:r w:rsidRPr="00B520F2">
        <w:rPr>
          <w:color w:val="000000"/>
          <w:kern w:val="0"/>
        </w:rPr>
        <w:t>Lango R, Szkulmowski Z, Maciejewski D, Sosnowski A, Kusza K. Revised protocol of extracorporeal membrane oxygen</w:t>
      </w:r>
      <w:r w:rsidR="00CA272E" w:rsidRPr="00B520F2">
        <w:rPr>
          <w:color w:val="000000"/>
          <w:kern w:val="0"/>
        </w:rPr>
        <w:t xml:space="preserve">ation (ECMO) therapy in severe </w:t>
      </w:r>
      <w:r w:rsidRPr="00B520F2">
        <w:rPr>
          <w:color w:val="000000"/>
          <w:kern w:val="0"/>
        </w:rPr>
        <w:t xml:space="preserve">ARDS. Recommendations of the </w:t>
      </w:r>
      <w:r w:rsidR="00D22CDF" w:rsidRPr="00B520F2">
        <w:rPr>
          <w:color w:val="000000"/>
          <w:kern w:val="0"/>
        </w:rPr>
        <w:t>v</w:t>
      </w:r>
      <w:r w:rsidRPr="00B520F2">
        <w:rPr>
          <w:color w:val="000000"/>
          <w:kern w:val="0"/>
        </w:rPr>
        <w:t xml:space="preserve">eno-venous ECMO </w:t>
      </w:r>
      <w:r w:rsidR="00D22CDF" w:rsidRPr="00B520F2">
        <w:rPr>
          <w:color w:val="000000"/>
          <w:kern w:val="0"/>
        </w:rPr>
        <w:t>e</w:t>
      </w:r>
      <w:r w:rsidRPr="00B520F2">
        <w:rPr>
          <w:color w:val="000000"/>
          <w:kern w:val="0"/>
        </w:rPr>
        <w:t xml:space="preserve">xpert </w:t>
      </w:r>
      <w:r w:rsidR="00D22CDF" w:rsidRPr="00B520F2">
        <w:rPr>
          <w:color w:val="000000"/>
          <w:kern w:val="0"/>
        </w:rPr>
        <w:t>p</w:t>
      </w:r>
      <w:r w:rsidRPr="00B520F2">
        <w:rPr>
          <w:color w:val="000000"/>
          <w:kern w:val="0"/>
        </w:rPr>
        <w:t xml:space="preserve">anel appointed in February 2016 by the national consultant on anesthesiology and intensive care. </w:t>
      </w:r>
      <w:r w:rsidRPr="00B520F2">
        <w:rPr>
          <w:i/>
          <w:iCs/>
          <w:color w:val="000000"/>
          <w:kern w:val="0"/>
        </w:rPr>
        <w:t>Anaesthesiol Intensive Ther</w:t>
      </w:r>
      <w:r w:rsidRPr="00B520F2">
        <w:rPr>
          <w:color w:val="000000"/>
          <w:kern w:val="0"/>
        </w:rPr>
        <w:t xml:space="preserve"> 2017</w:t>
      </w:r>
      <w:r w:rsidR="00D22CDF" w:rsidRPr="00B520F2">
        <w:rPr>
          <w:color w:val="000000"/>
          <w:kern w:val="0"/>
        </w:rPr>
        <w:t>;</w:t>
      </w:r>
      <w:r w:rsidRPr="00B520F2">
        <w:rPr>
          <w:color w:val="000000"/>
          <w:kern w:val="0"/>
        </w:rPr>
        <w:t xml:space="preserve"> 49: 88-99.</w:t>
      </w:r>
    </w:p>
    <w:p w14:paraId="7658FD63" w14:textId="31FFC06D" w:rsidR="005C0E2C" w:rsidRPr="00B520F2" w:rsidRDefault="005C0E2C" w:rsidP="005C0E2C">
      <w:pPr>
        <w:autoSpaceDE w:val="0"/>
        <w:autoSpaceDN w:val="0"/>
        <w:adjustRightInd w:val="0"/>
        <w:spacing w:line="360" w:lineRule="auto"/>
        <w:ind w:left="282" w:hangingChars="128" w:hanging="282"/>
        <w:rPr>
          <w:kern w:val="0"/>
        </w:rPr>
      </w:pPr>
      <w:r w:rsidRPr="00B520F2">
        <w:rPr>
          <w:color w:val="000000"/>
          <w:kern w:val="0"/>
        </w:rPr>
        <w:t>2.</w:t>
      </w:r>
      <w:r w:rsidRPr="00B520F2">
        <w:rPr>
          <w:color w:val="000000"/>
          <w:kern w:val="0"/>
        </w:rPr>
        <w:tab/>
        <w:t xml:space="preserve">Kellum JA, Lameire N, Aspelin P, </w:t>
      </w:r>
      <w:r w:rsidR="00564C1C" w:rsidRPr="00B520F2">
        <w:rPr>
          <w:color w:val="000000"/>
          <w:kern w:val="0"/>
        </w:rPr>
        <w:t xml:space="preserve">Barsoum RS, Burdmann EA, Goldstein SL, </w:t>
      </w:r>
      <w:r w:rsidR="00FB4589" w:rsidRPr="00B520F2">
        <w:rPr>
          <w:rFonts w:hint="eastAsia"/>
          <w:color w:val="000000"/>
          <w:kern w:val="0"/>
        </w:rPr>
        <w:t>e</w:t>
      </w:r>
      <w:r w:rsidR="00FB4589" w:rsidRPr="00B520F2">
        <w:rPr>
          <w:color w:val="000000"/>
          <w:kern w:val="0"/>
        </w:rPr>
        <w:t>t al</w:t>
      </w:r>
      <w:r w:rsidRPr="00B520F2">
        <w:rPr>
          <w:color w:val="000000"/>
          <w:kern w:val="0"/>
        </w:rPr>
        <w:t xml:space="preserve">. Kidney disease: Improving global outcomes (KDIGO) acute kidney injury work group. KDIGO clinical practice guideline for acute kidney injury. </w:t>
      </w:r>
      <w:r w:rsidRPr="00B520F2">
        <w:rPr>
          <w:i/>
          <w:iCs/>
          <w:color w:val="000000"/>
          <w:kern w:val="0"/>
        </w:rPr>
        <w:t>KIDNEY INT SUPPL</w:t>
      </w:r>
      <w:r w:rsidRPr="00B520F2">
        <w:rPr>
          <w:color w:val="000000"/>
          <w:kern w:val="0"/>
        </w:rPr>
        <w:t xml:space="preserve"> 2012</w:t>
      </w:r>
      <w:r w:rsidR="00D22CDF" w:rsidRPr="00B520F2">
        <w:rPr>
          <w:color w:val="000000"/>
          <w:kern w:val="0"/>
        </w:rPr>
        <w:t>;</w:t>
      </w:r>
      <w:r w:rsidRPr="00B520F2">
        <w:rPr>
          <w:color w:val="000000"/>
          <w:kern w:val="0"/>
        </w:rPr>
        <w:t xml:space="preserve"> 2: 1-138.</w:t>
      </w:r>
    </w:p>
    <w:p w14:paraId="4EFDA4DE" w14:textId="73DE6CB6" w:rsidR="005C0E2C" w:rsidRPr="00B520F2" w:rsidRDefault="005C0E2C" w:rsidP="005C0E2C">
      <w:pPr>
        <w:autoSpaceDE w:val="0"/>
        <w:autoSpaceDN w:val="0"/>
        <w:adjustRightInd w:val="0"/>
        <w:spacing w:line="360" w:lineRule="auto"/>
        <w:ind w:left="282" w:hangingChars="128" w:hanging="282"/>
        <w:rPr>
          <w:kern w:val="0"/>
        </w:rPr>
      </w:pPr>
      <w:r w:rsidRPr="00B520F2">
        <w:rPr>
          <w:color w:val="000000"/>
          <w:kern w:val="0"/>
        </w:rPr>
        <w:t>3.</w:t>
      </w:r>
      <w:r w:rsidRPr="00B520F2">
        <w:rPr>
          <w:color w:val="000000"/>
          <w:kern w:val="0"/>
        </w:rPr>
        <w:tab/>
        <w:t>Lei F, Liu YM, Zhou F,</w:t>
      </w:r>
      <w:r w:rsidR="00FB4589" w:rsidRPr="00B520F2">
        <w:rPr>
          <w:color w:val="000000"/>
          <w:kern w:val="0"/>
        </w:rPr>
        <w:t xml:space="preserve"> </w:t>
      </w:r>
      <w:r w:rsidR="00564C1C" w:rsidRPr="00B520F2">
        <w:rPr>
          <w:color w:val="000000"/>
          <w:kern w:val="0"/>
        </w:rPr>
        <w:t xml:space="preserve">Qin JJ, Zhang P, Zhu L, </w:t>
      </w:r>
      <w:r w:rsidR="00FB4589" w:rsidRPr="00B520F2">
        <w:rPr>
          <w:color w:val="000000"/>
          <w:kern w:val="0"/>
        </w:rPr>
        <w:t>et al</w:t>
      </w:r>
      <w:r w:rsidRPr="00B520F2">
        <w:rPr>
          <w:color w:val="000000"/>
          <w:kern w:val="0"/>
        </w:rPr>
        <w:t xml:space="preserve">. Longitudinal association between markers of liver injury and mortality in COVID-19 in China. </w:t>
      </w:r>
      <w:r w:rsidRPr="00B520F2">
        <w:rPr>
          <w:i/>
          <w:iCs/>
          <w:color w:val="000000"/>
          <w:kern w:val="0"/>
        </w:rPr>
        <w:t>HEPATOLOGY</w:t>
      </w:r>
      <w:r w:rsidRPr="00B520F2">
        <w:rPr>
          <w:color w:val="000000"/>
          <w:kern w:val="0"/>
        </w:rPr>
        <w:t xml:space="preserve"> 2020.</w:t>
      </w:r>
      <w:r w:rsidR="00D22CDF" w:rsidRPr="00B520F2">
        <w:rPr>
          <w:color w:val="000000"/>
          <w:kern w:val="0"/>
        </w:rPr>
        <w:t xml:space="preserve"> </w:t>
      </w:r>
      <w:r w:rsidR="00FB4589" w:rsidRPr="00B520F2">
        <w:rPr>
          <w:color w:val="000000"/>
          <w:kern w:val="0"/>
        </w:rPr>
        <w:t xml:space="preserve">Available from </w:t>
      </w:r>
      <w:r w:rsidR="00D22CDF" w:rsidRPr="00B520F2">
        <w:rPr>
          <w:color w:val="000000"/>
          <w:kern w:val="0"/>
        </w:rPr>
        <w:lastRenderedPageBreak/>
        <w:t>https://doi.org/10.1002/hep.31301.</w:t>
      </w:r>
    </w:p>
    <w:p w14:paraId="73AAB3AF" w14:textId="1993B2F2" w:rsidR="005C0E2C" w:rsidRPr="00B520F2" w:rsidRDefault="005C0E2C" w:rsidP="005C0E2C">
      <w:pPr>
        <w:autoSpaceDE w:val="0"/>
        <w:autoSpaceDN w:val="0"/>
        <w:adjustRightInd w:val="0"/>
        <w:spacing w:line="360" w:lineRule="auto"/>
        <w:ind w:left="282" w:hangingChars="128" w:hanging="282"/>
        <w:rPr>
          <w:kern w:val="0"/>
        </w:rPr>
      </w:pPr>
      <w:r w:rsidRPr="00B520F2">
        <w:rPr>
          <w:color w:val="000000"/>
          <w:kern w:val="0"/>
        </w:rPr>
        <w:t>4.</w:t>
      </w:r>
      <w:r w:rsidRPr="00B520F2">
        <w:rPr>
          <w:color w:val="000000"/>
          <w:kern w:val="0"/>
        </w:rPr>
        <w:tab/>
        <w:t xml:space="preserve">Gando S, Wada H, Thachil J. Differentiating disseminated intravascular coagulation (DIC) with the fibrinolytic phenotype from coagulopathy of trauma and acute coagulopathy of trauma-shock (COT/ACOTS). </w:t>
      </w:r>
      <w:r w:rsidRPr="00B520F2">
        <w:rPr>
          <w:i/>
          <w:iCs/>
          <w:color w:val="000000"/>
          <w:kern w:val="0"/>
        </w:rPr>
        <w:t>J THROMB HAEMOST</w:t>
      </w:r>
      <w:r w:rsidRPr="00B520F2">
        <w:rPr>
          <w:color w:val="000000"/>
          <w:kern w:val="0"/>
        </w:rPr>
        <w:t xml:space="preserve"> 2013</w:t>
      </w:r>
      <w:r w:rsidR="00D22CDF" w:rsidRPr="00B520F2">
        <w:rPr>
          <w:color w:val="000000"/>
          <w:kern w:val="0"/>
        </w:rPr>
        <w:t>;</w:t>
      </w:r>
      <w:r w:rsidRPr="00B520F2">
        <w:rPr>
          <w:color w:val="000000"/>
          <w:kern w:val="0"/>
        </w:rPr>
        <w:t xml:space="preserve"> 11: 826-835.</w:t>
      </w:r>
    </w:p>
    <w:p w14:paraId="76BC3503" w14:textId="2333C87A" w:rsidR="005C0E2C" w:rsidRPr="00B520F2" w:rsidRDefault="005C0E2C" w:rsidP="005C0E2C">
      <w:pPr>
        <w:autoSpaceDE w:val="0"/>
        <w:autoSpaceDN w:val="0"/>
        <w:adjustRightInd w:val="0"/>
        <w:spacing w:line="360" w:lineRule="auto"/>
        <w:ind w:left="282" w:hangingChars="128" w:hanging="282"/>
        <w:rPr>
          <w:kern w:val="0"/>
          <w:sz w:val="24"/>
          <w:szCs w:val="24"/>
        </w:rPr>
      </w:pPr>
      <w:r w:rsidRPr="00B520F2">
        <w:rPr>
          <w:color w:val="000000"/>
          <w:kern w:val="0"/>
        </w:rPr>
        <w:t>5.</w:t>
      </w:r>
      <w:r w:rsidRPr="00B520F2">
        <w:rPr>
          <w:color w:val="000000"/>
          <w:kern w:val="0"/>
        </w:rPr>
        <w:tab/>
      </w:r>
      <w:bookmarkStart w:id="7" w:name="_neb4A52B178_A6D0_428C_B1E3_5FF4B777BC88"/>
      <w:r w:rsidRPr="00B520F2">
        <w:rPr>
          <w:color w:val="000000"/>
          <w:kern w:val="0"/>
        </w:rPr>
        <w:t>Waljee AK, Mukherjee A, Singal AG,</w:t>
      </w:r>
      <w:r w:rsidR="00FB4589" w:rsidRPr="00B520F2">
        <w:rPr>
          <w:color w:val="000000"/>
          <w:kern w:val="0"/>
        </w:rPr>
        <w:t xml:space="preserve"> </w:t>
      </w:r>
      <w:r w:rsidR="00564C1C" w:rsidRPr="00B520F2">
        <w:rPr>
          <w:color w:val="000000"/>
          <w:kern w:val="0"/>
        </w:rPr>
        <w:t xml:space="preserve">Zhang Y, Warren J, Balis U, </w:t>
      </w:r>
      <w:r w:rsidR="00FB4589" w:rsidRPr="00B520F2">
        <w:rPr>
          <w:color w:val="000000"/>
          <w:kern w:val="0"/>
        </w:rPr>
        <w:t>et al</w:t>
      </w:r>
      <w:r w:rsidRPr="00B520F2">
        <w:rPr>
          <w:color w:val="000000"/>
          <w:kern w:val="0"/>
          <w:sz w:val="20"/>
          <w:szCs w:val="20"/>
        </w:rPr>
        <w:t xml:space="preserve">. </w:t>
      </w:r>
      <w:bookmarkStart w:id="8" w:name="OLE_LINK1"/>
      <w:bookmarkStart w:id="9" w:name="OLE_LINK2"/>
      <w:r w:rsidRPr="00B520F2">
        <w:rPr>
          <w:color w:val="000000"/>
          <w:kern w:val="0"/>
          <w:sz w:val="20"/>
          <w:szCs w:val="20"/>
        </w:rPr>
        <w:t>Comparison of imputation methods for missing laboratory data in medicine</w:t>
      </w:r>
      <w:bookmarkEnd w:id="8"/>
      <w:bookmarkEnd w:id="9"/>
      <w:r w:rsidRPr="00B520F2">
        <w:rPr>
          <w:color w:val="000000"/>
          <w:kern w:val="0"/>
          <w:sz w:val="20"/>
          <w:szCs w:val="20"/>
        </w:rPr>
        <w:t xml:space="preserve">. </w:t>
      </w:r>
      <w:r w:rsidRPr="00B520F2">
        <w:rPr>
          <w:i/>
          <w:iCs/>
          <w:color w:val="000000"/>
          <w:kern w:val="0"/>
          <w:sz w:val="20"/>
          <w:szCs w:val="20"/>
        </w:rPr>
        <w:t>BMJ OPEN</w:t>
      </w:r>
      <w:r w:rsidRPr="00B520F2">
        <w:rPr>
          <w:color w:val="000000"/>
          <w:kern w:val="0"/>
          <w:sz w:val="20"/>
          <w:szCs w:val="20"/>
        </w:rPr>
        <w:t xml:space="preserve"> 2013</w:t>
      </w:r>
      <w:r w:rsidR="00D22CDF" w:rsidRPr="00B520F2">
        <w:rPr>
          <w:color w:val="000000"/>
          <w:kern w:val="0"/>
          <w:sz w:val="20"/>
          <w:szCs w:val="20"/>
        </w:rPr>
        <w:t>;</w:t>
      </w:r>
      <w:r w:rsidRPr="00B520F2">
        <w:rPr>
          <w:color w:val="000000"/>
          <w:kern w:val="0"/>
          <w:sz w:val="20"/>
          <w:szCs w:val="20"/>
        </w:rPr>
        <w:t xml:space="preserve"> 3</w:t>
      </w:r>
      <w:r w:rsidR="00D22CDF" w:rsidRPr="00B520F2">
        <w:rPr>
          <w:color w:val="000000"/>
          <w:kern w:val="0"/>
          <w:sz w:val="20"/>
          <w:szCs w:val="20"/>
        </w:rPr>
        <w:t>: e2847</w:t>
      </w:r>
      <w:r w:rsidRPr="00B520F2">
        <w:rPr>
          <w:color w:val="000000"/>
          <w:kern w:val="0"/>
          <w:sz w:val="20"/>
          <w:szCs w:val="20"/>
        </w:rPr>
        <w:t>.</w:t>
      </w:r>
      <w:bookmarkEnd w:id="7"/>
    </w:p>
    <w:p w14:paraId="17B90B61" w14:textId="1DBA51DF" w:rsidR="00CF0D29" w:rsidRPr="00CF0D29" w:rsidRDefault="00CF0D29" w:rsidP="009F228F"/>
    <w:sectPr w:rsidR="00CF0D29" w:rsidRPr="00CF0D29" w:rsidSect="00B96F7A">
      <w:pgSz w:w="11906" w:h="16838"/>
      <w:pgMar w:top="1440" w:right="1133" w:bottom="1440"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2193CF" w14:textId="77777777" w:rsidR="00373695" w:rsidRDefault="00373695" w:rsidP="00CF0D29">
      <w:r>
        <w:separator/>
      </w:r>
    </w:p>
  </w:endnote>
  <w:endnote w:type="continuationSeparator" w:id="0">
    <w:p w14:paraId="3C2CC89E" w14:textId="77777777" w:rsidR="00373695" w:rsidRDefault="00373695" w:rsidP="00CF0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3551C8" w14:textId="77777777" w:rsidR="00373695" w:rsidRDefault="00373695" w:rsidP="00CF0D29">
      <w:r>
        <w:separator/>
      </w:r>
    </w:p>
  </w:footnote>
  <w:footnote w:type="continuationSeparator" w:id="0">
    <w:p w14:paraId="6559784C" w14:textId="77777777" w:rsidR="00373695" w:rsidRDefault="00373695" w:rsidP="00CF0D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NE.Ref{895E9EF8-8A27-49A9-B8BA-D5994241134F}" w:val=" ADDIN NE.Ref.{895E9EF8-8A27-49A9-B8BA-D5994241134F}&lt;Citation&gt;&lt;Group&gt;&lt;References&gt;&lt;Item&gt;&lt;ID&gt;1982&lt;/ID&gt;&lt;UID&gt;{3D9FC7DC-FB1A-4F8D-9AD0-0D01EF4345BD}&lt;/UID&gt;&lt;Title&gt;Kidney disease: Improving global outcomes (KDIGO) acute kidney injury work group. KDIGO clinical practice guideline for acute kidney injury&lt;/Title&gt;&lt;Template&gt;Journal Article&lt;/Template&gt;&lt;Star&gt;0&lt;/Star&gt;&lt;Tag&gt;0&lt;/Tag&gt;&lt;Author&gt;Kellum, John A; Lameire, Norbert; Aspelin, Peter; Barsoum, Rashad S; Burdmann, Emmanuel A; Goldstein, Stuart L; Herzog, Charles A; Joannidis, Michael; Kribben, Andreas; Levey, Andrew S; MacLeod, Alison M; Mehta, Ravindra L; Murray, Patrick T; Naicker, Saraladevi; Opal, Steven M; Schaefer, Franz; Schetz, Miet; Uchino, Shigehiko&lt;/Author&gt;&lt;Year&gt;2012&lt;/Year&gt;&lt;Details&gt;&lt;_accessed&gt;63284719&lt;/_accessed&gt;&lt;_collection_scope&gt;SCIE&lt;/_collection_scope&gt;&lt;_created&gt;63284719&lt;/_created&gt;&lt;_doi&gt;10.1038/kisup.2012.1&lt;/_doi&gt;&lt;_impact_factor&gt;   5.842&lt;/_impact_factor&gt;&lt;_issue&gt;1&lt;/_issue&gt;&lt;_journal&gt;Kidney International Supplements&lt;/_journal&gt;&lt;_modified&gt;63284730&lt;/_modified&gt;&lt;_pages&gt;1-138&lt;/_pages&gt;&lt;_volume&gt;2&lt;/_volume&gt;&lt;/Details&gt;&lt;Extra&gt;&lt;DBUID&gt;{7D6DE17C-78C4-4243-BF29-587FECD7368F}&lt;/DBUID&gt;&lt;/Extra&gt;&lt;/Item&gt;&lt;/References&gt;&lt;/Group&gt;&lt;/Citation&gt;_x000a_"/>
    <w:docVar w:name="NE.Ref{C33A2649-A95B-4ABB-8458-C710D71B4932}" w:val=" ADDIN NE.Ref.{C33A2649-A95B-4ABB-8458-C710D71B4932}&lt;Citation&gt;&lt;Group&gt;&lt;References&gt;&lt;Item&gt;&lt;ID&gt;1839&lt;/ID&gt;&lt;UID&gt;{D539C8A9-E7D8-46AF-B90E-FDBFE253B739}&lt;/UID&gt;&lt;Title&gt;Revised protocol of extracorporeal membrane oxygenation (ECMO) therapy in severe  ARDS. Recommendations of the Veno-venous ECMO Expert Panel appointed in February  2016 by the national consultant on anesthesiology and intensive care&lt;/Title&gt;&lt;Template&gt;Journal Article&lt;/Template&gt;&lt;Star&gt;1&lt;/Star&gt;&lt;Tag&gt;5&lt;/Tag&gt;&lt;Author&gt;Lango, R; Szkulmowski, Z; Maciejewski, D; Sosnowski, A; Kusza, K&lt;/Author&gt;&lt;Year&gt;2017&lt;/Year&gt;&lt;Details&gt;&lt;_accessed&gt;63347025&lt;/_accessed&gt;&lt;_accession_num&gt;28643320&lt;/_accession_num&gt;&lt;_author_adr&gt;Department of Cardioanaesthesiology, Medical University of Gdansk, Gdansk, Poland. rlango@gumed.edu.pl.&lt;/_author_adr&gt;&lt;_created&gt;63205527&lt;/_created&gt;&lt;_date&gt;61564320&lt;/_date&gt;&lt;_date_display&gt;2017&lt;/_date_display&gt;&lt;_db_updated&gt;PubMed&lt;/_db_updated&gt;&lt;_doi&gt;10.5603/AIT.a2017.0028&lt;/_doi&gt;&lt;_isbn&gt;1731-2531 (Electronic); 1642-5758 (Linking)&lt;/_isbn&gt;&lt;_issue&gt;2&lt;/_issue&gt;&lt;_journal&gt;Anaesthesiol Intensive Ther&lt;/_journal&gt;&lt;_keywords&gt;Adult; Anesthesiology; Carbon Dioxide/blood; Critical Care/methods; Extracorporeal Membrane Oxygenation/*methods; Humans; Oxygen/blood; Practice Guidelines as Topic; Respiration, Artificial/*methods; Respiratory Distress Syndrome, Adult/*therapy; Ventilator-Induced Lung Injury/physiopathologyARDS; ECMO; acute respiratory failure; extracorporeal membrane oxygenation&lt;/_keywords&gt;&lt;_language&gt;eng&lt;/_language&gt;&lt;_modified&gt;63215887&lt;/_modified&gt;&lt;_pages&gt;88-99&lt;/_pages&gt;&lt;_tertiary_title&gt;Anaesthesiology intensive therapy&lt;/_tertiary_title&gt;&lt;_type_work&gt;Journal Article&lt;/_type_work&gt;&lt;_url&gt;http://www.ncbi.nlm.nih.gov/entrez/query.fcgi?cmd=Retrieve&amp;amp;db=pubmed&amp;amp;dopt=Abstract&amp;amp;list_uids=28643320&amp;amp;query_hl=1&lt;/_url&gt;&lt;_volume&gt;49&lt;/_volume&gt;&lt;/Details&gt;&lt;Extra&gt;&lt;DBUID&gt;{7D6DE17C-78C4-4243-BF29-587FECD7368F}&lt;/DBUID&gt;&lt;/Extra&gt;&lt;/Item&gt;&lt;/References&gt;&lt;/Group&gt;&lt;/Citation&gt;_x000a_"/>
    <w:docVar w:name="NE.Ref{D47ADF7C-5292-49A2-91B8-59E4E3CFB383}" w:val=" ADDIN NE.Ref.{D47ADF7C-5292-49A2-91B8-59E4E3CFB383}&lt;Citation&gt;&lt;Group&gt;&lt;References&gt;&lt;Item&gt;&lt;ID&gt;2094&lt;/ID&gt;&lt;UID&gt;{4A52B178-A6D0-428C-B1E3-5FF4B777BC88}&lt;/UID&gt;&lt;Title&gt;Comparison of imputation methods for missing laboratory data in medicine&lt;/Title&gt;&lt;Template&gt;Journal Article&lt;/Template&gt;&lt;Star&gt;0&lt;/Star&gt;&lt;Tag&gt;0&lt;/Tag&gt;&lt;Author&gt;Waljee, A K; Mukherjee, A; Singal, A G; Zhang, Y; Warren, J; Balis, U; Marrero, J; Zhu, J; Higgins, P D&lt;/Author&gt;&lt;Year&gt;2013&lt;/Year&gt;&lt;Details&gt;&lt;_accession_num&gt;23906948&lt;/_accession_num&gt;&lt;_author_adr&gt;Department of Internal Medicine, University of Michigan, Ann Arbor, Michigan, USA.&lt;/_author_adr&gt;&lt;_collection_scope&gt;SCIE&lt;/_collection_scope&gt;&lt;_created&gt;63334983&lt;/_created&gt;&lt;_date&gt;2013-08-01&lt;/_date&gt;&lt;_date_display&gt;2013 Aug 1&lt;/_date_display&gt;&lt;_db_updated&gt;PubMed&lt;/_db_updated&gt;&lt;_doi&gt;10.1136/bmjopen-2013-002847&lt;/_doi&gt;&lt;_impact_factor&gt;   2.376&lt;/_impact_factor&gt;&lt;_isbn&gt;2044-6055 (Electronic); 2044-6055 (Linking)&lt;/_isbn&gt;&lt;_issue&gt;8&lt;/_issue&gt;&lt;_journal&gt;BMJ Open&lt;/_journal&gt;&lt;_language&gt;eng&lt;/_language&gt;&lt;_modified&gt;63334988&lt;/_modified&gt;&lt;_tertiary_title&gt;BMJ open&lt;/_tertiary_title&gt;&lt;_type_work&gt;Journal Article&lt;/_type_work&gt;&lt;_url&gt;http://www.ncbi.nlm.nih.gov/entrez/query.fcgi?cmd=Retrieve&amp;amp;db=pubmed&amp;amp;dopt=Abstract&amp;amp;list_uids=23906948&amp;amp;query_hl=1&lt;/_url&gt;&lt;_volume&gt;3&lt;/_volume&gt;&lt;/Details&gt;&lt;Extra&gt;&lt;DBUID&gt;{7D6DE17C-78C4-4243-BF29-587FECD7368F}&lt;/DBUID&gt;&lt;/Extra&gt;&lt;/Item&gt;&lt;/References&gt;&lt;/Group&gt;&lt;/Citation&gt;_x000a_"/>
    <w:docVar w:name="NE.Ref{D4B240E5-19C2-47A3-A266-00633C425162}" w:val=" ADDIN NE.Ref.{D4B240E5-19C2-47A3-A266-00633C425162}&lt;Citation&gt;&lt;Group&gt;&lt;References&gt;&lt;Item&gt;&lt;ID&gt;2088&lt;/ID&gt;&lt;UID&gt;{331E306F-6409-49F3-B10F-AA1E64E0E9A2}&lt;/UID&gt;&lt;Title&gt;Longitudinal association between markers of liver injury and mortality in COVID-19 in China&lt;/Title&gt;&lt;Template&gt;Journal Article&lt;/Template&gt;&lt;Star&gt;0&lt;/Star&gt;&lt;Tag&gt;0&lt;/Tag&gt;&lt;Author&gt;Lei, F; Liu, Y M; Zhou, F; Qin, J J; Zhang, P; Zhu, L; Zhang, X J; Cai, J; Lin, L; Ouyang, S; Wang, X; Yang, C; Cheng, X; Liu, W; Li, H; Xie, J; Wu, B; Luo, H; Xiao, F; Chen, J; Tao, L; Cheng, G; She, Z G; Zhou, J; Wang, H; Lin, J; Luo, P; Fu, S; Zhou, J; Ye, P; Xiao, B; Mao, W; Liu, L; Yan, Y; Liu, L; Chen, G; Li, H; Huang, X; Zhang, B H; Yuan, Y&lt;/Author&gt;&lt;Year&gt;2020&lt;/Year&gt;&lt;Details&gt;&lt;_accession_num&gt;32359177&lt;/_accession_num&gt;&lt;_author_adr&gt;Department of Hepatobiliary and Pancreatic Surgery, Zhongnan Hospital of Wuhan University, Wuhan, China.; Department of Cardiology, Renmin Hospital of Wuhan University, Wuhan, China.; Institute of Model Animal, Wuhan University, Wuhan, China.; Department of Cardiology, Renmin Hospital of Wuhan University, Wuhan, China.; Institute of Model Animal, Wuhan University, Wuhan, China.; Medical Science Research Center, Zhongnan Hospital of Wuhan University, Wuhan, China.; Institute of Model Animal, Wuhan University, Wuhan, China.; Department of Cardiology, Renmin Hospital of Wuhan University, Wuhan, China.; Institute of Model Animal, Wuhan University, Wuhan, China.; Medical Science Research Center, Zhongnan Hospital of Wuhan University, Wuhan, China.; Institute of Model Animal, Wuhan University, Wuhan, China.; Department of Cardiology, Renmin Hospital of Wuhan University, Wuhan, China.; Institute of Model Animal, Wuhan University, Wuhan, China.; Department of Cardiology, Renmin Hospital of Wuhan University, Wuhan, China.; Institute of Model Animal, Wuhan University, Wuhan, China.; Department of Cardiology, The Third Xiangya Hospital, Central South University, Changsha, China.; Institute of Model Animal, Wuhan University, Wuhan, China.; Basic Medical School, Wuhan University, Wuhan, China.; Institute of Model Animal, Wuhan University, Wuhan, China.; Basic Medical School, Wuhan University, Wuhan, China.; Institute of Model Animal, Wuhan University, Wuhan, China.; Basic Medical School, Wuhan University, Wuhan, China.; Department of Cardiology, Renmin Hospital of Wuhan University, Wuhan, China.; Institute of Model Animal, Wuhan University, Wuhan, China.; Department of Cardiology, Renmin Hospital of Wuhan University, Wuhan, China.; Institute of Model Animal, Wuhan University, Wuhan, China.; Institute of Model Animal, Wuhan University, Wuhan, China.; Basic Medical School, Wuhan University, Wuhan, China.; Department of Cardiology, Renmin Hospital of Wuhan University, Wuhan, China.; Institute of Model Animal, Wuhan University, Wuhan, China.; Department of Cardiology, Renmin Hospital of Wuhan University, Wuhan, China.; Department of Cardiology, Renmin Hospital of Wuhan University, Wuhan, China.; Institute of Model Animal, Wuhan University, Wuhan, China.; Department of Cardiology, Zhongnan Hospital of Wuhan University, Wuhan, China.; Department of Urology Surgery, Renmin Hospital of Wuhan University, Wuhan, China.; Institute of Model Animal, Wuhan University, Wuhan, China.; Department of Cardiology, Renmin Hospital of Wuhan University, Wuhan, China.; Institute of Model Animal, Wuhan University, Wuhan, China.; Institute of Model Animal, Wuhan University, Wuhan, China.; Department of Cardiology, Renmin Hospital of Wuhan University, Wuhan, China.; Institute of Model Animal, Wuhan University, Wuhan, China.; Department of Cardiology, Renmin Hospital of Wuhan University, Wuhan, China.; Institute of Model Animal, Wuhan University, Wuhan, China.; Department of Hepatobiliary and Pancreatic Surgery, Zhongnan Hospital of Wuhan University, Wuhan, China.; Department of Gastroenterology, Zhongnan Hospital of Wuhan University, Wuhan, China.; Department of Urology, Wuhan Third Hospital &amp;amp; Tongren Hospital of Wuhan University, Wuhan, China.; Department of Intensive Care Unit, Wuhan Third Hospital &amp;amp; Tongren Hospital of Wuhan University, Wuhan, China.; Wuhan Ninth Hospital, Wuhan, China.; Department of Cardiology, The Central Hospital of Wuhan, Tongji Medical College,  Huazhong University of Science and Technology, Wuhan, China.; Department of Stomatology, Xiantao First People&amp;apos;s Hospital, Xiantao, China.; Department of General Surgery, Huanggang Central Hospital, Huanggang, China.; Department of General Surgery, Ezhou Central Hospital, Ezhou, China.; Hepatology, Wuhan Seventh Hospital, Wuhan, China.; Eye Center, Renmin Hospital of Wuhan University, Wuhan, China.; Department of Neurology, Wuhan No.1 Hospital/Wuhan Hospital of Traditional Chinese and Western Medicine, Wuhan, China.; Department of Cardiology, Renmin Hospital of Wuhan University, Wuhan, China.; Medical Science Research Center, Zhongnan Hospital of Wuhan University, Wuhan, China.; Institute of Model Animal, Wuhan University, Wuhan, China.; Basic Medical School, Wuhan University, Wuhan, China.; Department of Gastroenterology, Wuhan Third Hospital &amp;amp; Tongren Hospital of Wuhan  University, Wuhan, China.; Department of Neonatology, Renmin Hospital of Wuhan University, Wuhan, China.; Department of Hepatobiliary and Pancreatic Surgery, Zhongnan Hospital of Wuhan University, Wuhan, China.&lt;/_author_adr&gt;&lt;_collection_scope&gt;SCI;SCIE&lt;/_collection_scope&gt;&lt;_created&gt;63329553&lt;/_created&gt;&lt;_date&gt;2020-05-02&lt;/_date&gt;&lt;_date_display&gt;2020 May 2&lt;/_date_display&gt;&lt;_db_updated&gt;PubMed&lt;/_db_updated&gt;&lt;_doi&gt;10.1002/hep.31301&lt;/_doi&gt;&lt;_impact_factor&gt;  14.971&lt;/_impact_factor&gt;&lt;_isbn&gt;1527-3350 (Electronic); 0270-9139 (Linking)&lt;/_isbn&gt;&lt;_journal&gt;Hepatology&lt;/_journal&gt;&lt;_language&gt;eng&lt;/_language&gt;&lt;_modified&gt;63347038&lt;/_modified&gt;&lt;_ori_publication&gt;This article is protected by copyright. All rights reserved.&lt;/_ori_publication&gt;&lt;_tertiary_title&gt;Hepatology (Baltimore, Md.)&lt;/_tertiary_title&gt;&lt;_type_work&gt;Journal Article&lt;/_type_work&gt;&lt;_url&gt;http://www.ncbi.nlm.nih.gov/entrez/query.fcgi?cmd=Retrieve&amp;amp;db=pubmed&amp;amp;dopt=Abstract&amp;amp;list_uids=32359177&amp;amp;query_hl=1&lt;/_url&gt;&lt;/Details&gt;&lt;Extra&gt;&lt;DBUID&gt;{7D6DE17C-78C4-4243-BF29-587FECD7368F}&lt;/DBUID&gt;&lt;/Extra&gt;&lt;/Item&gt;&lt;/References&gt;&lt;/Group&gt;&lt;/Citation&gt;_x000a_"/>
    <w:docVar w:name="NE.Ref{DA1DC4F5-859B-4D31-B1AA-62BE7EFCB3D7}" w:val=" ADDIN NE.Ref.{DA1DC4F5-859B-4D31-B1AA-62BE7EFCB3D7}&lt;Citation&gt;&lt;Group&gt;&lt;References&gt;&lt;Item&gt;&lt;ID&gt;1983&lt;/ID&gt;&lt;UID&gt;{014B4F08-0D14-49A8-8CCC-88CB4C4F3EF5}&lt;/UID&gt;&lt;Title&gt;Differentiating disseminated intravascular coagulation (DIC) with the fibrinolytic phenotype from coagulopathy of trauma and acute coagulopathy of trauma-shock (COT/ACOTS)&lt;/Title&gt;&lt;Template&gt;Journal Article&lt;/Template&gt;&lt;Star&gt;0&lt;/Star&gt;&lt;Tag&gt;0&lt;/Tag&gt;&lt;Author&gt;Gando, S; Wada, H; Thachil, J&lt;/Author&gt;&lt;Year&gt;2013&lt;/Year&gt;&lt;Details&gt;&lt;_accession_num&gt;23522358&lt;/_accession_num&gt;&lt;_author_adr&gt;Division of Acute and Critical Care Medicine, Department of Anesthesiology and Critical Care Medicine, Hokkaido University Graduate School of Medicine, Sapporo, Japan. gando@med.hokudai.ac.jp&lt;/_author_adr&gt;&lt;_collection_scope&gt;SCI;SCIE&lt;/_collection_scope&gt;&lt;_created&gt;63284757&lt;/_created&gt;&lt;_date&gt;2013-05-01&lt;/_date&gt;&lt;_date_display&gt;2013 May&lt;/_date_display&gt;&lt;_db_updated&gt;PubMed&lt;/_db_updated&gt;&lt;_doi&gt;10.1111/jth.12190&lt;/_doi&gt;&lt;_impact_factor&gt;   4.662&lt;/_impact_factor&gt;&lt;_isbn&gt;1538-7836 (Electronic); 1538-7836 (Linking)&lt;/_isbn&gt;&lt;_issue&gt;5&lt;/_issue&gt;&lt;_journal&gt;J Thromb Haemost&lt;/_journal&gt;&lt;_keywords&gt;Blood Coagulation Disorders/*diagnosis/etiology/physiopathology; Diagnosis, Differential; Disseminated Intravascular Coagulation/*diagnosis/physiopathology; *Fibrinolysis; Hemostasis; Humans; Phenotype; Shock, Traumatic/complications/*diagnosis/physiopathology; Wound Healing&lt;/_keywords&gt;&lt;_language&gt;eng&lt;/_language&gt;&lt;_modified&gt;63284757&lt;/_modified&gt;&lt;_ori_publication&gt;(c) 2013 International Society on Thrombosis and Haemostasis.&lt;/_ori_publication&gt;&lt;_pages&gt;826-35&lt;/_pages&gt;&lt;_tertiary_title&gt;Journal of thrombosis and haemostasis : JTH&lt;/_tertiary_title&gt;&lt;_type_work&gt;Journal Article; Review&lt;/_type_work&gt;&lt;_url&gt;http://www.ncbi.nlm.nih.gov/entrez/query.fcgi?cmd=Retrieve&amp;amp;db=pubmed&amp;amp;dopt=Abstract&amp;amp;list_uids=23522358&amp;amp;query_hl=1&lt;/_url&gt;&lt;_volume&gt;11&lt;/_volume&gt;&lt;/Details&gt;&lt;Extra&gt;&lt;DBUID&gt;{7D6DE17C-78C4-4243-BF29-587FECD7368F}&lt;/DBUID&gt;&lt;/Extra&gt;&lt;/Item&gt;&lt;/References&gt;&lt;/Group&gt;&lt;/Citation&gt;_x000a_"/>
    <w:docVar w:name="ne_stylename" w:val="European Respiratory Journal"/>
  </w:docVars>
  <w:rsids>
    <w:rsidRoot w:val="009B66CB"/>
    <w:rsid w:val="00014514"/>
    <w:rsid w:val="00094E9C"/>
    <w:rsid w:val="000B38D9"/>
    <w:rsid w:val="000F1AB6"/>
    <w:rsid w:val="001662FC"/>
    <w:rsid w:val="002903CD"/>
    <w:rsid w:val="002D5733"/>
    <w:rsid w:val="00302E47"/>
    <w:rsid w:val="003477B0"/>
    <w:rsid w:val="00373695"/>
    <w:rsid w:val="00557C4C"/>
    <w:rsid w:val="00564C1C"/>
    <w:rsid w:val="005A4649"/>
    <w:rsid w:val="005A79BD"/>
    <w:rsid w:val="005B7321"/>
    <w:rsid w:val="005C0E2C"/>
    <w:rsid w:val="006A08B5"/>
    <w:rsid w:val="00854BA1"/>
    <w:rsid w:val="00913576"/>
    <w:rsid w:val="009B66CB"/>
    <w:rsid w:val="009C63E7"/>
    <w:rsid w:val="009F228F"/>
    <w:rsid w:val="00B520F2"/>
    <w:rsid w:val="00B5636F"/>
    <w:rsid w:val="00B96F7A"/>
    <w:rsid w:val="00C05DC9"/>
    <w:rsid w:val="00C63070"/>
    <w:rsid w:val="00CA272E"/>
    <w:rsid w:val="00CF0D29"/>
    <w:rsid w:val="00D22CDF"/>
    <w:rsid w:val="00EF0835"/>
    <w:rsid w:val="00F54E0A"/>
    <w:rsid w:val="00FB4589"/>
    <w:rsid w:val="00FE6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A86F32"/>
  <w15:chartTrackingRefBased/>
  <w15:docId w15:val="{4E88E9D7-55C6-45FA-8A8E-8451283CD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2"/>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0D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0D29"/>
    <w:rPr>
      <w:sz w:val="18"/>
      <w:szCs w:val="18"/>
    </w:rPr>
  </w:style>
  <w:style w:type="paragraph" w:styleId="a4">
    <w:name w:val="footer"/>
    <w:basedOn w:val="a"/>
    <w:link w:val="Char0"/>
    <w:uiPriority w:val="99"/>
    <w:unhideWhenUsed/>
    <w:rsid w:val="00CF0D29"/>
    <w:pPr>
      <w:tabs>
        <w:tab w:val="center" w:pos="4153"/>
        <w:tab w:val="right" w:pos="8306"/>
      </w:tabs>
      <w:snapToGrid w:val="0"/>
      <w:jc w:val="left"/>
    </w:pPr>
    <w:rPr>
      <w:sz w:val="18"/>
      <w:szCs w:val="18"/>
    </w:rPr>
  </w:style>
  <w:style w:type="character" w:customStyle="1" w:styleId="Char0">
    <w:name w:val="页脚 Char"/>
    <w:basedOn w:val="a0"/>
    <w:link w:val="a4"/>
    <w:uiPriority w:val="99"/>
    <w:rsid w:val="00CF0D29"/>
    <w:rPr>
      <w:sz w:val="18"/>
      <w:szCs w:val="18"/>
    </w:rPr>
  </w:style>
  <w:style w:type="paragraph" w:styleId="a5">
    <w:name w:val="Balloon Text"/>
    <w:basedOn w:val="a"/>
    <w:link w:val="Char1"/>
    <w:uiPriority w:val="99"/>
    <w:semiHidden/>
    <w:unhideWhenUsed/>
    <w:rsid w:val="00094E9C"/>
    <w:rPr>
      <w:sz w:val="18"/>
      <w:szCs w:val="18"/>
    </w:rPr>
  </w:style>
  <w:style w:type="character" w:customStyle="1" w:styleId="Char1">
    <w:name w:val="批注框文本 Char"/>
    <w:basedOn w:val="a0"/>
    <w:link w:val="a5"/>
    <w:uiPriority w:val="99"/>
    <w:semiHidden/>
    <w:rsid w:val="00094E9C"/>
    <w:rPr>
      <w:sz w:val="18"/>
      <w:szCs w:val="18"/>
    </w:rPr>
  </w:style>
  <w:style w:type="character" w:styleId="a6">
    <w:name w:val="Hyperlink"/>
    <w:basedOn w:val="a0"/>
    <w:uiPriority w:val="99"/>
    <w:unhideWhenUsed/>
    <w:rsid w:val="00D22CD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5</Pages>
  <Words>1245</Words>
  <Characters>7097</Characters>
  <Application>Microsoft Office Word</Application>
  <DocSecurity>0</DocSecurity>
  <Lines>59</Lines>
  <Paragraphs>16</Paragraphs>
  <ScaleCrop>false</ScaleCrop>
  <Company/>
  <LinksUpToDate>false</LinksUpToDate>
  <CharactersWithSpaces>8326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静 方</dc:creator>
  <cp:keywords/>
  <dc:description>NE.Rep</dc:description>
  <cp:lastModifiedBy>微软用户</cp:lastModifiedBy>
  <cp:revision>19</cp:revision>
  <dcterms:created xsi:type="dcterms:W3CDTF">2020-06-25T15:39:00Z</dcterms:created>
  <dcterms:modified xsi:type="dcterms:W3CDTF">2020-08-05T11:30:00Z</dcterms:modified>
</cp:coreProperties>
</file>