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2359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14:paraId="2F2A23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B134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4875A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Preparation of ultramarine green pigments by recycling of the discarded molecular sieves for green vegetation spectral simulation</w:t>
      </w:r>
    </w:p>
    <w:p w14:paraId="49D5CC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E8E9ED">
      <w:pPr>
        <w:widowControl w:val="0"/>
        <w:snapToGrid/>
        <w:jc w:val="both"/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</w:pPr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Haoyan Zhou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>1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  <w:lang w:val="en-US" w:eastAsia="zh-CN"/>
        </w:rPr>
        <w:t>,2</w:t>
      </w:r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, Mei Zu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>1, *</w:t>
      </w:r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 xml:space="preserve">, 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</w:rPr>
        <w:t>Xinxuan</w:t>
      </w:r>
      <w:r>
        <w:rPr>
          <w:rFonts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 xml:space="preserve"> 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</w:rPr>
        <w:t>Tang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>1</w:t>
      </w:r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,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</w:rPr>
        <w:t xml:space="preserve"> Yuanxi Chang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>1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</w:rPr>
        <w:t>,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lang w:val="en-US" w:eastAsia="zh-CN"/>
        </w:rPr>
        <w:t xml:space="preserve"> 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</w:rPr>
        <w:t>Shiquan Li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>1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lang w:val="en-US" w:eastAsia="zh-CN"/>
        </w:rPr>
        <w:t>,</w:t>
      </w:r>
      <w:r>
        <w:rPr>
          <w:rFonts w:hint="eastAsia" w:ascii="Microsoft PhagsPa" w:hAnsi="Microsoft PhagsPa" w:eastAsia="宋体" w:cs="Microsoft PhagsPa"/>
          <w:color w:val="000000"/>
          <w:kern w:val="0"/>
          <w:vertAlign w:val="baseline"/>
          <w:lang w:val="en-US" w:eastAsia="zh-CN"/>
        </w:rPr>
        <w:t xml:space="preserve"> 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</w:rPr>
        <w:t>Hongrui Yang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>1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</w:rPr>
        <w:t>,</w:t>
      </w:r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 xml:space="preserve"> Chenglong Lv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>2, *</w:t>
      </w:r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, Haifeng Cheng</w:t>
      </w: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  <w:t>1</w:t>
      </w:r>
    </w:p>
    <w:p w14:paraId="327E78B4">
      <w:pPr>
        <w:widowControl w:val="0"/>
        <w:snapToGrid/>
        <w:jc w:val="both"/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</w:rPr>
      </w:pPr>
    </w:p>
    <w:p w14:paraId="6862E9AF">
      <w:pPr>
        <w:widowControl w:val="0"/>
        <w:snapToGrid/>
        <w:jc w:val="both"/>
        <w:rPr>
          <w:rFonts w:ascii="Microsoft PhagsPa" w:hAnsi="Microsoft PhagsPa" w:eastAsia="宋体" w:cs="Microsoft PhagsPa"/>
          <w:i/>
          <w:iCs/>
          <w:color w:val="000000"/>
          <w:kern w:val="0"/>
        </w:rPr>
      </w:pPr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  <w:lang w:val="en-US" w:eastAsia="zh-CN"/>
        </w:rPr>
        <w:t>1</w:t>
      </w:r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Science and Technology on Advanced Ceramic Fibers and Composites Laboratory, National University of Defense Technology, Changsha 410073, China</w:t>
      </w:r>
    </w:p>
    <w:p w14:paraId="35ABCE71">
      <w:pPr>
        <w:widowControl w:val="0"/>
        <w:snapToGrid/>
        <w:jc w:val="both"/>
        <w:rPr>
          <w:rFonts w:ascii="Microsoft PhagsPa" w:hAnsi="Microsoft PhagsPa" w:eastAsia="宋体" w:cs="Microsoft PhagsPa"/>
          <w:i/>
          <w:iCs/>
          <w:color w:val="000000"/>
          <w:kern w:val="0"/>
        </w:rPr>
      </w:pPr>
      <w:bookmarkStart w:id="0" w:name="_Hlk176201849"/>
      <w:r>
        <w:rPr>
          <w:rFonts w:hint="eastAsia" w:ascii="Microsoft PhagsPa" w:hAnsi="Microsoft PhagsPa" w:eastAsia="宋体" w:cs="Microsoft PhagsPa"/>
          <w:i/>
          <w:iCs/>
          <w:color w:val="000000"/>
          <w:kern w:val="0"/>
          <w:vertAlign w:val="superscript"/>
          <w:lang w:val="en-US" w:eastAsia="zh-CN"/>
        </w:rPr>
        <w:t>2</w:t>
      </w:r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School of Physics and Optoelectronics Engineering,</w:t>
      </w:r>
      <w:bookmarkEnd w:id="0"/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 xml:space="preserve"> </w:t>
      </w:r>
      <w:bookmarkStart w:id="1" w:name="_Hlk176201705"/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Xiangtan University</w:t>
      </w:r>
      <w:bookmarkEnd w:id="1"/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 xml:space="preserve">, Xiangtan </w:t>
      </w:r>
      <w:bookmarkStart w:id="2" w:name="_Hlk176201908"/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411105</w:t>
      </w:r>
      <w:bookmarkEnd w:id="2"/>
      <w:r>
        <w:rPr>
          <w:rFonts w:ascii="Microsoft PhagsPa" w:hAnsi="Microsoft PhagsPa" w:eastAsia="宋体" w:cs="Microsoft PhagsPa"/>
          <w:i/>
          <w:iCs/>
          <w:color w:val="000000"/>
          <w:kern w:val="0"/>
        </w:rPr>
        <w:t>, China</w:t>
      </w:r>
    </w:p>
    <w:p w14:paraId="42F1BE18">
      <w:pPr>
        <w:widowControl w:val="0"/>
        <w:snapToGrid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</w:t>
      </w:r>
    </w:p>
    <w:p w14:paraId="4F1689F1">
      <w:pPr>
        <w:widowControl w:val="0"/>
        <w:snapToGrid/>
        <w:rPr>
          <w:rFonts w:ascii="Times New Roman" w:hAnsi="Times New Roman" w:cs="Times New Roman"/>
          <w:i/>
          <w:iCs/>
        </w:rPr>
      </w:pPr>
      <w:r>
        <w:rPr>
          <w:rFonts w:hint="eastAsia" w:ascii="Times New Roman" w:hAnsi="Times New Roman" w:cs="Times New Roman"/>
          <w:i/>
          <w:iCs/>
        </w:rPr>
        <w:t xml:space="preserve">Email: </w:t>
      </w:r>
      <w:r>
        <w:fldChar w:fldCharType="begin"/>
      </w:r>
      <w:r>
        <w:instrText xml:space="preserve"> HYPERLINK "mailto:zumei2003@163.com" </w:instrText>
      </w:r>
      <w:r>
        <w:fldChar w:fldCharType="separate"/>
      </w:r>
      <w:r>
        <w:rPr>
          <w:rStyle w:val="6"/>
          <w:rFonts w:hint="eastAsia" w:ascii="Times New Roman" w:hAnsi="Times New Roman" w:cs="Times New Roman"/>
          <w:i/>
          <w:iCs/>
        </w:rPr>
        <w:t>zumei2003@163.com</w:t>
      </w:r>
      <w:r>
        <w:rPr>
          <w:rStyle w:val="6"/>
          <w:rFonts w:hint="eastAsia" w:ascii="Times New Roman" w:hAnsi="Times New Roman" w:cs="Times New Roman"/>
          <w:i/>
          <w:iCs/>
        </w:rPr>
        <w:fldChar w:fldCharType="end"/>
      </w:r>
      <w:r>
        <w:rPr>
          <w:rFonts w:hint="eastAsia" w:ascii="Times New Roman" w:hAnsi="Times New Roman" w:cs="Times New Roman"/>
          <w:i/>
          <w:iCs/>
        </w:rPr>
        <w:t xml:space="preserve"> (Mei Zu); </w:t>
      </w:r>
    </w:p>
    <w:p w14:paraId="2EB6B99E">
      <w:pPr>
        <w:widowControl w:val="0"/>
        <w:snapToGrid/>
        <w:rPr>
          <w:rFonts w:ascii="Times New Roman" w:hAnsi="Times New Roman" w:cs="Times New Roman"/>
          <w:i/>
          <w:iCs/>
        </w:rPr>
      </w:pPr>
    </w:p>
    <w:p w14:paraId="432243E2">
      <w:pPr>
        <w:widowControl w:val="0"/>
        <w:snapToGrid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These SEM results further demonstrated that </w:t>
      </w:r>
      <w:r>
        <w:rPr>
          <w:rFonts w:ascii="Times New Roman" w:hAnsi="Times New Roman" w:cs="Times New Roman"/>
        </w:rPr>
        <w:t>discarded molecular sieves</w:t>
      </w:r>
      <w:r>
        <w:rPr>
          <w:rFonts w:hint="eastAsia" w:ascii="Times New Roman" w:hAnsi="Times New Roman" w:cs="Times New Roman"/>
        </w:rPr>
        <w:t xml:space="preserve"> contained sodalite structure with a rhombic shape which was confirmed the previous analysis of the crystalline phase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&lt;EndNote&gt;&lt;Cite&gt;&lt;Author&gt;Hsiao&lt;/Author&gt;&lt;Year&gt;2017&lt;/Year&gt;&lt;RecNum&gt;31&lt;/RecNum&gt;&lt;DisplayText&gt;&lt;style face="superscript"&gt;1,2&lt;/style&gt;&lt;/DisplayText&gt;&lt;record&gt;&lt;rec-number&gt;31&lt;/rec-number&gt;&lt;foreign-keys&gt;&lt;key app="EN" db-id="txs929xd3efw27etdsovz2a395vpsvpda5ts" timestamp="1725288387"&gt;31&lt;/key&gt;&lt;/foreign-keys&gt;&lt;ref-type name="Journal Article"&gt;17&lt;/ref-type&gt;&lt;contributors&gt;&lt;authors&gt;&lt;author&gt;Hsiao, Yin-Hsiu&lt;/author&gt;&lt;author&gt;Shen, Yun-Hwei&lt;/author&gt;&lt;author&gt;Ray, Dah-Tong&lt;/author&gt;&lt;/authors&gt;&lt;/contributors&gt;&lt;titles&gt;&lt;title&gt;Synthesis of Ultramarine from Reservoir Silts&lt;/title&gt;&lt;secondary-title&gt;Minerals&lt;/secondary-title&gt;&lt;/titles&gt;&lt;periodical&gt;&lt;full-title&gt;Minerals&lt;/full-title&gt;&lt;/periodical&gt;&lt;volume&gt;7&lt;/volume&gt;&lt;number&gt;5&lt;/number&gt;&lt;section&gt;69&lt;/section&gt;&lt;dates&gt;&lt;year&gt;2017&lt;/year&gt;&lt;/dates&gt;&lt;isbn&gt;2075-163X&lt;/isbn&gt;&lt;urls&gt;&lt;/urls&gt;&lt;electronic-resource-num&gt;10.3390/min7050069&lt;/electronic-resource-num&gt;&lt;/record&gt;&lt;/Cite&gt;&lt;Cite&gt;&lt;Author&gt;Kowalak&lt;/Author&gt;&lt;Year&gt;2006&lt;/Year&gt;&lt;RecNum&gt;34&lt;/RecNum&gt;&lt;record&gt;&lt;rec-number&gt;34&lt;/rec-number&gt;&lt;foreign-keys&gt;&lt;key app="EN" db-id="txs929xd3efw27etdsovz2a395vpsvpda5ts" timestamp="1725288402"&gt;34&lt;/key&gt;&lt;/foreign-keys&gt;&lt;ref-type name="Journal Article"&gt;17&lt;/ref-type&gt;&lt;contributors&gt;&lt;authors&gt;&lt;author&gt;Kowalak, Stanisław&lt;/author&gt;&lt;author&gt;Jankowska, Aldona&lt;/author&gt;&lt;author&gt;Zeidler, Sebastian&lt;/author&gt;&lt;/authors&gt;&lt;/contributors&gt;&lt;titles&gt;&lt;title&gt;Ultramarine analogs synthesized from cancrinite&lt;/title&gt;&lt;secondary-title&gt;Microporous and Mesoporous Materials&lt;/secondary-title&gt;&lt;/titles&gt;&lt;periodical&gt;&lt;full-title&gt;Microporous and Mesoporous Materials&lt;/full-title&gt;&lt;/periodical&gt;&lt;pages&gt;111-118&lt;/pages&gt;&lt;volume&gt;93&lt;/volume&gt;&lt;number&gt;1-3&lt;/number&gt;&lt;section&gt;111&lt;/section&gt;&lt;dates&gt;&lt;year&gt;2006&lt;/year&gt;&lt;/dates&gt;&lt;isbn&gt;13871811&lt;/isbn&gt;&lt;urls&gt;&lt;/urls&gt;&lt;electronic-resource-num&gt;10.1016/j.micromeso.2006.02.011&lt;/electronic-resource-num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  <w:bCs/>
        </w:rPr>
        <w:t>Fig. S1</w:t>
      </w:r>
      <w:r>
        <w:rPr>
          <w:rFonts w:hint="eastAsia" w:ascii="Times New Roman" w:hAnsi="Times New Roman" w:cs="Times New Roman"/>
          <w:b/>
          <w:bCs/>
        </w:rPr>
        <w:t>, S2</w:t>
      </w:r>
      <w:r>
        <w:rPr>
          <w:rFonts w:hint="eastAsia"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>From the particle size distribution graph, it can be observed that the particle size of all the samples is normally distributed,</w:t>
      </w:r>
      <w:r>
        <w:rPr>
          <w:rFonts w:hint="eastAsia"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>he smoothness and flatness of a coating is highly dependent on the uniform distribution of pigment particles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The uniformity of the pigment affects the apparent properties of the coating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&lt;EndNote&gt;&lt;Cite&gt;&lt;Author&gt;Zhang&lt;/Author&gt;&lt;Year&gt;2022&lt;/Year&gt;&lt;RecNum&gt;54&lt;/RecNum&gt;&lt;DisplayText&gt;&lt;style face="superscript"&gt;3&lt;/style&gt;&lt;/DisplayText&gt;&lt;record&gt;&lt;rec-number&gt;54&lt;/rec-number&gt;&lt;foreign-keys&gt;&lt;key app="EN" db-id="txs929xd3efw27etdsovz2a395vpsvpda5ts" timestamp="1725288494"&gt;54&lt;/key&gt;&lt;/foreign-keys&gt;&lt;ref-type name="Journal Article"&gt;17&lt;/ref-type&gt;&lt;contributors&gt;&lt;authors&gt;&lt;author&gt;Zhang, Meiqi&lt;/author&gt;&lt;author&gt;Feng, Luo&lt;/author&gt;&lt;author&gt;Zeng, Zhiyuan&lt;/author&gt;&lt;author&gt;Yang, Yijie&lt;/author&gt;&lt;author&gt;Sun, Xiaoqi&lt;/author&gt;&lt;/authors&gt;&lt;/contributors&gt;&lt;titles&gt;&lt;title&gt;Environmentally Friendly High-Near-Infrared Reflectance Blue Pigment YIn0.9–xMn0.1MxO3−δ Based on Li/Zn Doping&lt;/title&gt;&lt;secondary-title&gt;ACS Sustainable Chemistry &amp;amp; Engineering&lt;/secondary-title&gt;&lt;/titles&gt;&lt;periodical&gt;&lt;full-title&gt;ACS Sustainable Chemistry &amp;amp; Engineering&lt;/full-title&gt;&lt;/periodical&gt;&lt;pages&gt;13877-13886&lt;/pages&gt;&lt;volume&gt;10&lt;/volume&gt;&lt;number&gt;41&lt;/number&gt;&lt;section&gt;13877&lt;/section&gt;&lt;dates&gt;&lt;year&gt;2022&lt;/year&gt;&lt;/dates&gt;&lt;isbn&gt;2168-0485&amp;#xD;2168-0485&lt;/isbn&gt;&lt;urls&gt;&lt;/urls&gt;&lt;electronic-resource-num&gt;10.1021/acssuschemeng.2c04967&lt;/electronic-resource-num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. It can be observed from </w:t>
      </w:r>
      <w:r>
        <w:rPr>
          <w:rFonts w:ascii="Times New Roman" w:hAnsi="Times New Roman" w:cs="Times New Roman"/>
          <w:b/>
          <w:bCs/>
        </w:rPr>
        <w:t>Fig. S</w:t>
      </w:r>
      <w:r>
        <w:rPr>
          <w:rFonts w:hint="eastAsia"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 that most of the particle sizes in the samples are below 5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μm and uniformly distributed.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Based on the above D50 studies,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it can be concluded that </w:t>
      </w:r>
      <w:r>
        <w:rPr>
          <w:rFonts w:hint="eastAsia"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he increase in sodium carbonate content results in a larger particle size of the pigment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which is in agreement with SEM results. The SOD structure has excellent thermal stability and is expected to solve the problem of poor weather resistance of hyperspectral materials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&lt;EndNote&gt;&lt;Cite&gt;&lt;Author&gt;Škvarlová&lt;/Author&gt;&lt;Year&gt;2019&lt;/Year&gt;&lt;RecNum&gt;23&lt;/RecNum&gt;&lt;DisplayText&gt;&lt;style face="superscript"&gt;4&lt;/style&gt;&lt;/DisplayText&gt;&lt;record&gt;&lt;rec-number&gt;23&lt;/rec-number&gt;&lt;foreign-keys&gt;&lt;key app="EN" db-id="txs929xd3efw27etdsovz2a395vpsvpda5ts" timestamp="1725288353"&gt;23&lt;/key&gt;&lt;/foreign-keys&gt;&lt;ref-type name="Journal Article"&gt;17&lt;/ref-type&gt;&lt;contributors&gt;&lt;authors&gt;&lt;author&gt;Škvarlová, Anna&lt;/author&gt;&lt;author&gt;Kaňuchová, Mária&lt;/author&gt;&lt;author&gt;Kozáková, Ľubica&lt;/author&gt;&lt;author&gt;Valušová, Eva&lt;/author&gt;&lt;author&gt;Holub, Marián&lt;/author&gt;&lt;author&gt;Škvarla, Jiří&lt;/author&gt;&lt;/authors&gt;&lt;/contributors&gt;&lt;titles&gt;&lt;title&gt;Preparation and characterization of ultramarine blue pigments from fly ash by using the X-ray photoelectron spectroscopy (XPS) for the determination of chemical states of sulphur in chromophores&lt;/title&gt;&lt;secondary-title&gt;Microporous and Mesoporous Materials&lt;/secondary-title&gt;&lt;/titles&gt;&lt;periodical&gt;&lt;full-title&gt;Microporous and Mesoporous Materials&lt;/full-title&gt;&lt;/periodical&gt;&lt;pages&gt;283-288&lt;/pages&gt;&lt;volume&gt;284&lt;/volume&gt;&lt;section&gt;283&lt;/section&gt;&lt;dates&gt;&lt;year&gt;2019&lt;/year&gt;&lt;/dates&gt;&lt;isbn&gt;13871811&lt;/isbn&gt;&lt;urls&gt;&lt;/urls&gt;&lt;electronic-resource-num&gt;10.1016/j.micromeso.2019.04.039&lt;/electronic-resource-num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(as pretend in </w:t>
      </w:r>
      <w:r>
        <w:rPr>
          <w:rFonts w:ascii="Times New Roman" w:hAnsi="Times New Roman" w:cs="Times New Roman"/>
          <w:b/>
          <w:bCs/>
        </w:rPr>
        <w:t>Fig. S</w:t>
      </w:r>
      <w:r>
        <w:rPr>
          <w:rFonts w:hint="eastAsia"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>). Herein,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this green pigment without heavy metals is expected to replace cobalt green, chrome green and other metallic colors in the 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amouflage pigments from the perspective of the economy and environmental protection.</w:t>
      </w:r>
    </w:p>
    <w:p w14:paraId="7ED2FD6E">
      <w:pPr>
        <w:widowControl w:val="0"/>
        <w:snapToGrid/>
        <w:jc w:val="center"/>
        <w:rPr>
          <w:rFonts w:ascii="Times New Roman" w:hAnsi="Times New Roman" w:cs="Times New Roman"/>
          <w:i/>
          <w:iCs/>
        </w:rPr>
      </w:pPr>
      <w:r>
        <w:rPr>
          <w:rFonts w:hint="eastAsia"/>
        </w:rPr>
        <w:drawing>
          <wp:inline distT="0" distB="0" distL="0" distR="0">
            <wp:extent cx="4556125" cy="3334385"/>
            <wp:effectExtent l="0" t="0" r="0" b="0"/>
            <wp:docPr id="5607598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59883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932" cy="33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720C">
      <w:pPr>
        <w:widowControl w:val="0"/>
        <w:snapToGri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 S1</w:t>
      </w:r>
      <w:r>
        <w:rPr>
          <w:rFonts w:hint="eastAsia"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SEM images</w:t>
      </w:r>
      <w:r>
        <w:rPr>
          <w:rFonts w:hint="eastAsia"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discarded molecular sieves</w:t>
      </w:r>
      <w:r>
        <w:rPr>
          <w:rFonts w:hint="eastAsia" w:ascii="Times New Roman" w:hAnsi="Times New Roman" w:cs="Times New Roman"/>
        </w:rPr>
        <w:t>.</w:t>
      </w:r>
    </w:p>
    <w:p w14:paraId="729137C2">
      <w:pPr>
        <w:widowControl w:val="0"/>
        <w:snapToGrid/>
        <w:jc w:val="center"/>
        <w:rPr>
          <w:rFonts w:ascii="Times New Roman" w:hAnsi="Times New Roman" w:cs="Times New Roman"/>
        </w:rPr>
      </w:pPr>
    </w:p>
    <w:p w14:paraId="481501FD">
      <w:pPr>
        <w:widowControl w:val="0"/>
        <w:snapToGrid/>
        <w:rPr>
          <w:rFonts w:ascii="Times New Roman" w:hAnsi="Times New Roman" w:cs="Times New Roman"/>
          <w:i/>
          <w:iCs/>
        </w:rPr>
      </w:pPr>
    </w:p>
    <w:p w14:paraId="68FA3221">
      <w:pPr>
        <w:widowControl w:val="0"/>
        <w:snapToGrid/>
        <w:jc w:val="center"/>
        <w:rPr>
          <w:rFonts w:ascii="Times New Roman" w:hAnsi="Times New Roman" w:cs="Times New Roman"/>
          <w:i/>
          <w:iCs/>
        </w:rPr>
      </w:pPr>
      <w:r>
        <w:drawing>
          <wp:inline distT="0" distB="0" distL="0" distR="0">
            <wp:extent cx="3945255" cy="3362325"/>
            <wp:effectExtent l="0" t="0" r="0" b="0"/>
            <wp:docPr id="1561504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0437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181" cy="336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196B">
      <w:pPr>
        <w:widowControl w:val="0"/>
        <w:snapToGri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 S</w:t>
      </w:r>
      <w:r>
        <w:rPr>
          <w:rFonts w:hint="eastAsia"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</w:rPr>
        <w:t xml:space="preserve"> XRD pattern of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discarded molecular sieves</w:t>
      </w:r>
      <w:r>
        <w:rPr>
          <w:rFonts w:hint="eastAsia" w:ascii="Times New Roman" w:hAnsi="Times New Roman" w:cs="Times New Roman"/>
        </w:rPr>
        <w:t>.</w:t>
      </w:r>
    </w:p>
    <w:p w14:paraId="0B75FA43">
      <w:pPr>
        <w:widowControl w:val="0"/>
        <w:snapToGrid/>
        <w:rPr>
          <w:rFonts w:ascii="Times New Roman" w:hAnsi="Times New Roman" w:cs="Times New Roman"/>
          <w:i/>
          <w:iCs/>
        </w:rPr>
      </w:pPr>
    </w:p>
    <w:p w14:paraId="480E8E64">
      <w:pPr>
        <w:widowControl w:val="0"/>
        <w:snapToGrid/>
        <w:jc w:val="center"/>
        <w:rPr>
          <w:rFonts w:ascii="Times New Roman" w:hAnsi="Times New Roman" w:cs="Times New Roman"/>
          <w:i/>
          <w:iCs/>
        </w:rPr>
      </w:pPr>
      <w:r>
        <w:drawing>
          <wp:inline distT="0" distB="0" distL="0" distR="0">
            <wp:extent cx="3997325" cy="3188335"/>
            <wp:effectExtent l="0" t="0" r="3175" b="0"/>
            <wp:docPr id="500648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4876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7790" cy="319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790D">
      <w:pPr>
        <w:widowControl w:val="0"/>
        <w:snapToGri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 S</w:t>
      </w:r>
      <w:r>
        <w:rPr>
          <w:rFonts w:hint="eastAsia"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</w:rPr>
        <w:t xml:space="preserve"> Particle size analyses of ultramarine</w:t>
      </w:r>
      <w:r>
        <w:rPr>
          <w:rFonts w:hint="eastAsia" w:ascii="Times New Roman" w:hAnsi="Times New Roman" w:cs="Times New Roman"/>
        </w:rPr>
        <w:t>.</w:t>
      </w:r>
    </w:p>
    <w:p w14:paraId="5C25E90C">
      <w:pPr>
        <w:widowControl w:val="0"/>
        <w:snapToGrid/>
        <w:jc w:val="center"/>
        <w:rPr>
          <w:rFonts w:ascii="Times New Roman" w:hAnsi="Times New Roman" w:cs="Times New Roman"/>
          <w:i/>
          <w:iCs/>
        </w:rPr>
      </w:pPr>
    </w:p>
    <w:p w14:paraId="356A5EFB">
      <w:pPr>
        <w:widowControl w:val="0"/>
        <w:snapToGrid/>
        <w:rPr>
          <w:rFonts w:ascii="Times New Roman" w:hAnsi="Times New Roman" w:cs="Times New Roman"/>
          <w:i/>
          <w:iCs/>
        </w:rPr>
      </w:pPr>
    </w:p>
    <w:p w14:paraId="4CCA930F">
      <w:pPr>
        <w:ind w:firstLine="420"/>
        <w:rPr>
          <w:rFonts w:hint="eastAsia"/>
        </w:rPr>
      </w:pPr>
      <w:r>
        <w:drawing>
          <wp:inline distT="0" distB="0" distL="0" distR="0">
            <wp:extent cx="4207510" cy="3227705"/>
            <wp:effectExtent l="0" t="0" r="0" b="0"/>
            <wp:docPr id="1892364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64919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177" cy="323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720E">
      <w:pPr>
        <w:widowControl w:val="0"/>
        <w:snapToGri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 S</w:t>
      </w:r>
      <w:r>
        <w:rPr>
          <w:rFonts w:hint="eastAsia"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TG/DTG curve</w:t>
      </w:r>
      <w:r>
        <w:rPr>
          <w:rFonts w:ascii="Times New Roman" w:hAnsi="Times New Roman" w:cs="Times New Roman"/>
        </w:rPr>
        <w:t xml:space="preserve"> of </w:t>
      </w:r>
      <w:r>
        <w:rPr>
          <w:rFonts w:hint="eastAsia" w:ascii="Times New Roman" w:hAnsi="Times New Roman" w:cs="Times New Roman"/>
        </w:rPr>
        <w:t>U5 sample.</w:t>
      </w:r>
    </w:p>
    <w:p w14:paraId="31BC4121">
      <w:pPr>
        <w:widowControl w:val="0"/>
        <w:snapToGrid/>
        <w:jc w:val="center"/>
        <w:rPr>
          <w:rFonts w:ascii="Times New Roman" w:hAnsi="Times New Roman" w:cs="Times New Roman"/>
        </w:rPr>
      </w:pPr>
    </w:p>
    <w:p w14:paraId="1E1B51C0">
      <w:pPr>
        <w:ind w:firstLine="420"/>
        <w:jc w:val="center"/>
        <w:rPr>
          <w:rFonts w:hint="eastAsia"/>
        </w:rPr>
      </w:pPr>
      <w:r>
        <w:drawing>
          <wp:inline distT="0" distB="0" distL="0" distR="0">
            <wp:extent cx="5274310" cy="1894840"/>
            <wp:effectExtent l="0" t="0" r="2540" b="0"/>
            <wp:docPr id="728548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4888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0686">
      <w:pPr>
        <w:widowControl w:val="0"/>
        <w:snapToGri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 S</w:t>
      </w:r>
      <w:r>
        <w:rPr>
          <w:rFonts w:hint="eastAsia" w:ascii="Times New Roman" w:hAnsi="Times New Roman" w:cs="Times New Roman"/>
          <w:b/>
          <w:bCs/>
        </w:rPr>
        <w:t>5.</w:t>
      </w:r>
      <w:r>
        <w:rPr>
          <w:rFonts w:ascii="Times New Roman" w:hAnsi="Times New Roman" w:cs="Times New Roman"/>
        </w:rPr>
        <w:t xml:space="preserve"> SEM images</w:t>
      </w:r>
      <w:r>
        <w:rPr>
          <w:rFonts w:hint="eastAsia"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camouflage coating</w:t>
      </w:r>
      <w:r>
        <w:rPr>
          <w:rFonts w:hint="eastAsia" w:ascii="Times New Roman" w:hAnsi="Times New Roman" w:cs="Times New Roman"/>
        </w:rPr>
        <w:t>.</w:t>
      </w:r>
    </w:p>
    <w:p w14:paraId="7045CAE3">
      <w:pPr>
        <w:ind w:firstLine="420"/>
        <w:rPr>
          <w:rFonts w:hint="eastAsia"/>
        </w:rPr>
      </w:pPr>
    </w:p>
    <w:p w14:paraId="582266E8">
      <w:pPr>
        <w:rPr>
          <w:rFonts w:hint="eastAsia" w:ascii="Microsoft PhagsPa" w:hAnsi="Microsoft PhagsPa"/>
          <w:b/>
          <w:bCs/>
          <w:snapToGrid w:val="0"/>
          <w:sz w:val="22"/>
          <w:szCs w:val="22"/>
        </w:rPr>
      </w:pPr>
      <w:r>
        <w:rPr>
          <w:rFonts w:ascii="Microsoft PhagsPa" w:hAnsi="Microsoft PhagsPa"/>
          <w:b/>
          <w:bCs/>
          <w:snapToGrid w:val="0"/>
          <w:sz w:val="22"/>
          <w:szCs w:val="22"/>
          <w:lang w:eastAsia="en-US"/>
        </w:rPr>
        <w:t>References</w:t>
      </w:r>
    </w:p>
    <w:p w14:paraId="12E18ED8">
      <w:pPr>
        <w:pStyle w:val="12"/>
        <w:ind w:left="720" w:hanging="720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ADDIN EN.REFLIST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 xml:space="preserve">Hsiao, Y.-H., Shen, Y.-H. &amp; Ray, D.-T. Synthesis of Ultramarine from Reservoir Silts. </w:t>
      </w:r>
      <w:r>
        <w:rPr>
          <w:rFonts w:hint="eastAsia"/>
          <w:i/>
        </w:rPr>
        <w:t>Minerals</w:t>
      </w:r>
      <w:r>
        <w:rPr>
          <w:rFonts w:hint="eastAsia"/>
        </w:rPr>
        <w:t xml:space="preserve"> </w:t>
      </w:r>
      <w:r>
        <w:rPr>
          <w:rFonts w:hint="eastAsia"/>
          <w:b/>
        </w:rPr>
        <w:t>7</w:t>
      </w:r>
      <w:r>
        <w:rPr>
          <w:rFonts w:hint="eastAsia"/>
        </w:rPr>
        <w:t>, doi:10.3390/min7050069 (2017).</w:t>
      </w:r>
    </w:p>
    <w:p w14:paraId="00041ADB">
      <w:pPr>
        <w:pStyle w:val="12"/>
        <w:ind w:left="720" w:hanging="72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Kowalak, S., Jankowska, A. &amp; Zeidler, S. Ultramarine analogs synthesized from cancrinite. </w:t>
      </w:r>
      <w:r>
        <w:rPr>
          <w:rFonts w:hint="eastAsia"/>
          <w:i/>
        </w:rPr>
        <w:t>Microporous and Mesoporous Materials</w:t>
      </w:r>
      <w:r>
        <w:rPr>
          <w:rFonts w:hint="eastAsia"/>
        </w:rPr>
        <w:t xml:space="preserve"> </w:t>
      </w:r>
      <w:r>
        <w:rPr>
          <w:rFonts w:hint="eastAsia"/>
          <w:b/>
        </w:rPr>
        <w:t>93</w:t>
      </w:r>
      <w:r>
        <w:rPr>
          <w:rFonts w:hint="eastAsia"/>
        </w:rPr>
        <w:t>, 111-118, doi:10.1016/j.micromeso.2006.02.011 (2006).</w:t>
      </w:r>
    </w:p>
    <w:p w14:paraId="15CCA57F">
      <w:pPr>
        <w:pStyle w:val="12"/>
        <w:ind w:left="720" w:hanging="720"/>
        <w:rPr>
          <w:rFonts w:hint="eastAsia"/>
        </w:rPr>
      </w:pPr>
      <w:r>
        <w:t>3</w:t>
      </w:r>
      <w:r>
        <w:tab/>
      </w:r>
      <w:r>
        <w:t>Zhang, M., Feng, L., Zeng, Z., Yang, Y. &amp; Sun, X. Environmentally Friendly High-Near-Infrared Reflectance Blue Pigment YIn0.9–xMn0.1MxO3</w:t>
      </w:r>
      <w:r>
        <w:rPr>
          <w:rFonts w:hint="eastAsia" w:ascii="微软雅黑" w:hAnsi="微软雅黑" w:eastAsia="微软雅黑" w:cs="微软雅黑"/>
        </w:rPr>
        <w:t>−</w:t>
      </w:r>
      <w:r>
        <w:rPr>
          <w:rFonts w:hint="eastAsia" w:cs="等线"/>
        </w:rPr>
        <w:t>δ</w:t>
      </w:r>
      <w:r>
        <w:t xml:space="preserve"> Based on Li/Zn Doping. </w:t>
      </w:r>
      <w:r>
        <w:rPr>
          <w:i/>
        </w:rPr>
        <w:t>ACS Sustainable Chemistry &amp; E</w:t>
      </w:r>
      <w:r>
        <w:rPr>
          <w:rFonts w:hint="eastAsia"/>
          <w:i/>
        </w:rPr>
        <w:t>ngineering</w:t>
      </w:r>
      <w:r>
        <w:rPr>
          <w:rFonts w:hint="eastAsia"/>
        </w:rPr>
        <w:t xml:space="preserve"> </w:t>
      </w:r>
      <w:r>
        <w:rPr>
          <w:rFonts w:hint="eastAsia"/>
          <w:b/>
        </w:rPr>
        <w:t>10</w:t>
      </w:r>
      <w:r>
        <w:rPr>
          <w:rFonts w:hint="eastAsia"/>
        </w:rPr>
        <w:t>, 13877-13886, doi:10.1021/acssuschemeng.2c04967 (2022).</w:t>
      </w:r>
    </w:p>
    <w:p w14:paraId="615916BC">
      <w:pPr>
        <w:pStyle w:val="12"/>
        <w:ind w:left="720" w:hanging="72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Škvarlová, A.</w:t>
      </w:r>
      <w:r>
        <w:rPr>
          <w:rFonts w:hint="eastAsia"/>
          <w:i/>
        </w:rPr>
        <w:t xml:space="preserve"> et al.</w:t>
      </w:r>
      <w:r>
        <w:rPr>
          <w:rFonts w:hint="eastAsia"/>
        </w:rPr>
        <w:t xml:space="preserve"> Preparation and characterization of ultramarine blue pigments from fly ash by using the X-ray photoelectron spectroscopy (XPS) for the determination of chemical states of sulphur in chromophores. </w:t>
      </w:r>
      <w:r>
        <w:rPr>
          <w:rFonts w:hint="eastAsia"/>
          <w:i/>
        </w:rPr>
        <w:t>Microporous and Mesoporous Materials</w:t>
      </w:r>
      <w:r>
        <w:rPr>
          <w:rFonts w:hint="eastAsia"/>
        </w:rPr>
        <w:t xml:space="preserve"> </w:t>
      </w:r>
      <w:r>
        <w:rPr>
          <w:rFonts w:hint="eastAsia"/>
          <w:b/>
        </w:rPr>
        <w:t>284</w:t>
      </w:r>
      <w:r>
        <w:rPr>
          <w:rFonts w:hint="eastAsia"/>
        </w:rPr>
        <w:t>, 283-288, doi:10.1016/j.micromeso.2019.04.039 (2019).</w:t>
      </w:r>
    </w:p>
    <w:p w14:paraId="6332F900">
      <w:pPr>
        <w:ind w:firstLine="420"/>
        <w:rPr>
          <w:rFonts w:hint="eastAsia"/>
        </w:rPr>
      </w:pPr>
      <w:r>
        <w:rPr>
          <w:rFonts w:hint="eastAsia"/>
        </w:rPr>
        <w:fldChar w:fldCharType="end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PhagsPa">
    <w:panose1 w:val="020B0502040204020203"/>
    <w:charset w:val="00"/>
    <w:family w:val="swiss"/>
    <w:pitch w:val="default"/>
    <w:sig w:usb0="00000003" w:usb1="00200000" w:usb2="08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D1680">
    <w:pPr>
      <w:pStyle w:val="2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32245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32245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CC52C"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D49699">
    <w:pPr>
      <w:pStyle w:val="2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AD97A">
    <w:pPr>
      <w:pStyle w:val="3"/>
      <w:ind w:firstLine="360"/>
    </w:pPr>
    <w:bookmarkStart w:id="3" w:name="_GoBack"/>
  </w:p>
  <w:bookmarkEnd w:id="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595818"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6F9A4A"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mZWIzNDg2MmIzZjExOTIzMmViNTBmYTMwYTk0ZWY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&lt;/Style&gt;&lt;LeftDelim&gt;{&lt;/LeftDelim&gt;&lt;RightDelim&gt;}&lt;/RightDelim&gt;&lt;FontName&gt;等线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xs929xd3efw27etdsovz2a395vpsvpda5ts&quot;&gt;群青&lt;record-ids&gt;&lt;item&gt;23&lt;/item&gt;&lt;item&gt;31&lt;/item&gt;&lt;item&gt;34&lt;/item&gt;&lt;item&gt;54&lt;/item&gt;&lt;/record-ids&gt;&lt;/item&gt;&lt;/Libraries&gt;"/>
  </w:docVars>
  <w:rsids>
    <w:rsidRoot w:val="001644DF"/>
    <w:rsid w:val="001644DF"/>
    <w:rsid w:val="0024007F"/>
    <w:rsid w:val="003A2E3F"/>
    <w:rsid w:val="004565C8"/>
    <w:rsid w:val="004C6984"/>
    <w:rsid w:val="00537D7D"/>
    <w:rsid w:val="005824E9"/>
    <w:rsid w:val="006F6A52"/>
    <w:rsid w:val="007623A3"/>
    <w:rsid w:val="007B46AF"/>
    <w:rsid w:val="00800C9B"/>
    <w:rsid w:val="008373F1"/>
    <w:rsid w:val="00851C48"/>
    <w:rsid w:val="00984D17"/>
    <w:rsid w:val="00A97F9D"/>
    <w:rsid w:val="00DD4EA2"/>
    <w:rsid w:val="00F16893"/>
    <w:rsid w:val="00F708B1"/>
    <w:rsid w:val="00FF5A32"/>
    <w:rsid w:val="300C387F"/>
    <w:rsid w:val="31A44A23"/>
    <w:rsid w:val="507F0614"/>
    <w:rsid w:val="67B323E2"/>
    <w:rsid w:val="6A187432"/>
    <w:rsid w:val="7493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napToGrid w:val="0"/>
    </w:pPr>
    <w:rPr>
      <w:rFonts w:asciiTheme="minorHAnsi" w:hAnsiTheme="minorHAnsi" w:eastAsiaTheme="minorEastAsia" w:cstheme="minorHAnsi"/>
      <w:kern w:val="2"/>
      <w:sz w:val="18"/>
      <w:szCs w:val="18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widowControl w:val="0"/>
      <w:tabs>
        <w:tab w:val="center" w:pos="4153"/>
        <w:tab w:val="right" w:pos="8306"/>
      </w:tabs>
      <w:ind w:firstLine="200" w:firstLineChars="200"/>
    </w:pPr>
    <w:rPr>
      <w:rFonts w:ascii="Times New Roman" w:hAnsi="Times New Roman" w:cstheme="minorBidi"/>
    </w:rPr>
  </w:style>
  <w:style w:type="paragraph" w:styleId="3">
    <w:name w:val="header"/>
    <w:basedOn w:val="1"/>
    <w:link w:val="7"/>
    <w:unhideWhenUsed/>
    <w:qFormat/>
    <w:uiPriority w:val="99"/>
    <w:pPr>
      <w:widowControl w:val="0"/>
      <w:tabs>
        <w:tab w:val="center" w:pos="4153"/>
        <w:tab w:val="right" w:pos="8306"/>
      </w:tabs>
      <w:ind w:firstLine="200" w:firstLineChars="200"/>
      <w:jc w:val="center"/>
    </w:pPr>
    <w:rPr>
      <w:rFonts w:ascii="Times New Roman" w:hAnsi="Times New Roman" w:cstheme="minorBidi"/>
    </w:rPr>
  </w:style>
  <w:style w:type="character" w:styleId="6">
    <w:name w:val="Hyperlink"/>
    <w:basedOn w:val="5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rFonts w:ascii="Times New Roman" w:hAnsi="Times New Roman"/>
      <w:sz w:val="18"/>
      <w:szCs w:val="18"/>
      <w14:ligatures w14:val="none"/>
    </w:rPr>
  </w:style>
  <w:style w:type="character" w:customStyle="1" w:styleId="8">
    <w:name w:val="页脚 字符"/>
    <w:basedOn w:val="5"/>
    <w:link w:val="2"/>
    <w:qFormat/>
    <w:uiPriority w:val="99"/>
    <w:rPr>
      <w:rFonts w:ascii="Times New Roman" w:hAnsi="Times New Roman"/>
      <w:sz w:val="18"/>
      <w:szCs w:val="18"/>
      <w14:ligatures w14:val="none"/>
    </w:rPr>
  </w:style>
  <w:style w:type="character" w:customStyle="1" w:styleId="9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0">
    <w:name w:val="EndNote Bibliography Title"/>
    <w:basedOn w:val="1"/>
    <w:link w:val="11"/>
    <w:qFormat/>
    <w:uiPriority w:val="0"/>
    <w:pPr>
      <w:jc w:val="center"/>
    </w:pPr>
    <w:rPr>
      <w:rFonts w:ascii="等线" w:hAnsi="等线" w:eastAsia="等线"/>
    </w:rPr>
  </w:style>
  <w:style w:type="character" w:customStyle="1" w:styleId="11">
    <w:name w:val="EndNote Bibliography Title 字符"/>
    <w:basedOn w:val="5"/>
    <w:link w:val="10"/>
    <w:uiPriority w:val="0"/>
    <w:rPr>
      <w:rFonts w:ascii="等线" w:hAnsi="等线" w:eastAsia="等线" w:cstheme="minorHAnsi"/>
      <w:kern w:val="2"/>
      <w:sz w:val="18"/>
      <w:szCs w:val="18"/>
    </w:rPr>
  </w:style>
  <w:style w:type="paragraph" w:customStyle="1" w:styleId="12">
    <w:name w:val="EndNote Bibliography"/>
    <w:basedOn w:val="1"/>
    <w:link w:val="13"/>
    <w:qFormat/>
    <w:uiPriority w:val="0"/>
    <w:rPr>
      <w:rFonts w:ascii="等线" w:hAnsi="等线" w:eastAsia="等线"/>
    </w:rPr>
  </w:style>
  <w:style w:type="character" w:customStyle="1" w:styleId="13">
    <w:name w:val="EndNote Bibliography 字符"/>
    <w:basedOn w:val="5"/>
    <w:link w:val="12"/>
    <w:qFormat/>
    <w:uiPriority w:val="0"/>
    <w:rPr>
      <w:rFonts w:ascii="等线" w:hAnsi="等线" w:eastAsia="等线" w:cstheme="minorHAns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415</Words>
  <Characters>2488</Characters>
  <Lines>50</Lines>
  <Paragraphs>14</Paragraphs>
  <TotalTime>0</TotalTime>
  <ScaleCrop>false</ScaleCrop>
  <LinksUpToDate>false</LinksUpToDate>
  <CharactersWithSpaces>2884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2024-10-11T17:36:00Z</dcterms:created>
  <dc:creator>浩言 周</dc:creator>
  <cp:lastModifiedBy>周浩言</cp:lastModifiedBy>
  <dcterms:modified xsi:type="dcterms:W3CDTF">2024-10-29T11:55:35Z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CE0F7BFF7CD64B6D91B7221BB9825489_12</vt:lpwstr>
  </property>
</Properties>
</file>