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7820F" w14:textId="56924A11" w:rsidR="007A4E65" w:rsidRPr="007A4E65" w:rsidRDefault="007A4E65" w:rsidP="007A4E65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  <w:r w:rsidRPr="007A4E65">
        <w:rPr>
          <w:rFonts w:ascii="Times New Roman" w:hAnsi="Times New Roman" w:cs="Times New Roman"/>
          <w:b/>
          <w:sz w:val="24"/>
        </w:rPr>
        <w:t xml:space="preserve">Supplementary Information </w:t>
      </w:r>
    </w:p>
    <w:p w14:paraId="49C58557" w14:textId="77777777" w:rsidR="007A4E65" w:rsidRPr="007A4E65" w:rsidRDefault="007A4E65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7A4E65">
        <w:rPr>
          <w:rFonts w:ascii="Times New Roman" w:hAnsi="Times New Roman" w:cs="Times New Roman"/>
          <w:b/>
          <w:sz w:val="24"/>
        </w:rPr>
        <w:t>Figure S1</w:t>
      </w:r>
      <w:r w:rsidRPr="007A4E65">
        <w:rPr>
          <w:rFonts w:ascii="Times New Roman" w:hAnsi="Times New Roman" w:cs="Times New Roman"/>
          <w:sz w:val="24"/>
        </w:rPr>
        <w:t xml:space="preserve"> Quantitative analysis of gonadal defects for</w:t>
      </w:r>
      <w:r w:rsidRPr="007A4E65">
        <w:rPr>
          <w:rFonts w:ascii="Times New Roman" w:hAnsi="Times New Roman" w:cs="Times New Roman"/>
          <w:bCs/>
          <w:i/>
          <w:sz w:val="24"/>
        </w:rPr>
        <w:t xml:space="preserve"> gcn-1; mig-17</w:t>
      </w:r>
      <w:r w:rsidRPr="007A4E65">
        <w:rPr>
          <w:rFonts w:ascii="Times New Roman" w:hAnsi="Times New Roman" w:cs="Times New Roman"/>
          <w:bCs/>
          <w:sz w:val="24"/>
        </w:rPr>
        <w:t xml:space="preserve">, </w:t>
      </w:r>
      <w:r w:rsidRPr="007A4E65">
        <w:rPr>
          <w:rFonts w:ascii="Times New Roman" w:hAnsi="Times New Roman" w:cs="Times New Roman"/>
          <w:bCs/>
          <w:i/>
          <w:sz w:val="24"/>
        </w:rPr>
        <w:t>pek-1; mig-17</w:t>
      </w:r>
      <w:r w:rsidRPr="007A4E65">
        <w:rPr>
          <w:rFonts w:ascii="Times New Roman" w:hAnsi="Times New Roman" w:cs="Times New Roman"/>
          <w:bCs/>
          <w:sz w:val="24"/>
        </w:rPr>
        <w:t xml:space="preserve"> and </w:t>
      </w:r>
      <w:r w:rsidRPr="007A4E65">
        <w:rPr>
          <w:rFonts w:ascii="Times New Roman" w:hAnsi="Times New Roman" w:cs="Times New Roman"/>
          <w:bCs/>
          <w:i/>
          <w:sz w:val="24"/>
        </w:rPr>
        <w:t>rict-1; mig-17</w:t>
      </w:r>
      <w:r w:rsidRPr="007A4E65">
        <w:rPr>
          <w:rFonts w:ascii="Times New Roman" w:hAnsi="Times New Roman" w:cs="Times New Roman"/>
          <w:sz w:val="24"/>
        </w:rPr>
        <w:t xml:space="preserve">. </w:t>
      </w:r>
      <w:r w:rsidRPr="007A4E65">
        <w:rPr>
          <w:rFonts w:ascii="Times New Roman" w:hAnsi="Times New Roman" w:cs="Times New Roman"/>
          <w:bCs/>
          <w:i/>
          <w:sz w:val="24"/>
        </w:rPr>
        <w:t>gcn-1</w:t>
      </w:r>
      <w:r w:rsidRPr="007A4E65">
        <w:rPr>
          <w:rFonts w:ascii="Times New Roman" w:hAnsi="Times New Roman" w:cs="Times New Roman"/>
          <w:bCs/>
          <w:sz w:val="24"/>
        </w:rPr>
        <w:t xml:space="preserve">, </w:t>
      </w:r>
      <w:r w:rsidRPr="007A4E65">
        <w:rPr>
          <w:rFonts w:ascii="Times New Roman" w:hAnsi="Times New Roman" w:cs="Times New Roman"/>
          <w:bCs/>
          <w:i/>
          <w:sz w:val="24"/>
        </w:rPr>
        <w:t xml:space="preserve">pek-1 </w:t>
      </w:r>
      <w:r w:rsidRPr="007A4E65">
        <w:rPr>
          <w:rFonts w:ascii="Times New Roman" w:hAnsi="Times New Roman" w:cs="Times New Roman"/>
          <w:bCs/>
          <w:sz w:val="24"/>
        </w:rPr>
        <w:t>and</w:t>
      </w:r>
      <w:r w:rsidRPr="007A4E65">
        <w:rPr>
          <w:rFonts w:ascii="Times New Roman" w:hAnsi="Times New Roman" w:cs="Times New Roman"/>
          <w:bCs/>
          <w:i/>
          <w:sz w:val="24"/>
        </w:rPr>
        <w:t xml:space="preserve"> rict-1</w:t>
      </w:r>
      <w:r w:rsidRPr="007A4E65">
        <w:rPr>
          <w:rFonts w:ascii="Times New Roman" w:hAnsi="Times New Roman" w:cs="Times New Roman"/>
          <w:bCs/>
          <w:sz w:val="24"/>
        </w:rPr>
        <w:t xml:space="preserve"> failed to suppress</w:t>
      </w:r>
      <w:r w:rsidRPr="007A4E65">
        <w:rPr>
          <w:rFonts w:ascii="Times New Roman" w:hAnsi="Times New Roman" w:cs="Times New Roman"/>
          <w:bCs/>
          <w:i/>
          <w:sz w:val="24"/>
        </w:rPr>
        <w:t xml:space="preserve"> mig-17.</w:t>
      </w:r>
      <w:r w:rsidRPr="007A4E65">
        <w:rPr>
          <w:rFonts w:ascii="Times New Roman" w:hAnsi="Times New Roman" w:cs="Times New Roman"/>
          <w:sz w:val="24"/>
        </w:rPr>
        <w:t xml:space="preserve"> </w:t>
      </w:r>
      <w:r w:rsidRPr="007A4E65">
        <w:rPr>
          <w:rFonts w:ascii="Times New Roman" w:hAnsi="Times New Roman" w:cs="Times New Roman"/>
          <w:bCs/>
          <w:i/>
          <w:sz w:val="24"/>
        </w:rPr>
        <w:t xml:space="preserve">mig-17(k174) </w:t>
      </w:r>
      <w:r w:rsidRPr="007A4E65">
        <w:rPr>
          <w:rFonts w:ascii="Times New Roman" w:hAnsi="Times New Roman" w:cs="Times New Roman"/>
          <w:bCs/>
          <w:sz w:val="24"/>
        </w:rPr>
        <w:t>was marked with</w:t>
      </w:r>
      <w:r w:rsidRPr="007A4E65">
        <w:rPr>
          <w:rFonts w:ascii="Times New Roman" w:hAnsi="Times New Roman" w:cs="Times New Roman"/>
          <w:bCs/>
          <w:i/>
          <w:sz w:val="24"/>
        </w:rPr>
        <w:t xml:space="preserve"> unc-42(e270), </w:t>
      </w:r>
      <w:r w:rsidRPr="007A4E65">
        <w:rPr>
          <w:rFonts w:ascii="Times New Roman" w:hAnsi="Times New Roman" w:cs="Times New Roman"/>
          <w:bCs/>
          <w:sz w:val="24"/>
        </w:rPr>
        <w:t xml:space="preserve">which weakens </w:t>
      </w:r>
      <w:r w:rsidRPr="007A4E65">
        <w:rPr>
          <w:rFonts w:ascii="Times New Roman" w:hAnsi="Times New Roman" w:cs="Times New Roman"/>
          <w:bCs/>
          <w:i/>
          <w:sz w:val="24"/>
        </w:rPr>
        <w:t xml:space="preserve">mig-17 </w:t>
      </w:r>
      <w:r w:rsidRPr="007A4E65">
        <w:rPr>
          <w:rFonts w:ascii="Times New Roman" w:hAnsi="Times New Roman" w:cs="Times New Roman"/>
          <w:bCs/>
          <w:sz w:val="24"/>
        </w:rPr>
        <w:t>phenotype.</w:t>
      </w:r>
      <w:r w:rsidRPr="007A4E65">
        <w:rPr>
          <w:rFonts w:ascii="Times New Roman" w:hAnsi="Times New Roman" w:cs="Times New Roman"/>
          <w:sz w:val="24"/>
        </w:rPr>
        <w:t xml:space="preserve"> N=60 for each strain. P-values for Fisher’s exact test against </w:t>
      </w:r>
      <w:r w:rsidRPr="007A4E65">
        <w:rPr>
          <w:rFonts w:ascii="Times New Roman" w:hAnsi="Times New Roman" w:cs="Times New Roman"/>
          <w:i/>
          <w:iCs/>
          <w:sz w:val="24"/>
        </w:rPr>
        <w:t>mig-17(k174)</w:t>
      </w:r>
      <w:r w:rsidRPr="007A4E65">
        <w:rPr>
          <w:rFonts w:ascii="Times New Roman" w:hAnsi="Times New Roman" w:cs="Times New Roman"/>
          <w:iCs/>
          <w:sz w:val="24"/>
        </w:rPr>
        <w:t xml:space="preserve"> are indicated: </w:t>
      </w:r>
      <w:r w:rsidRPr="007A4E65">
        <w:rPr>
          <w:rFonts w:ascii="Times New Roman" w:hAnsi="Times New Roman" w:cs="Times New Roman"/>
          <w:sz w:val="24"/>
        </w:rPr>
        <w:t>NS, not significant.</w:t>
      </w:r>
    </w:p>
    <w:p w14:paraId="3999393E" w14:textId="77777777" w:rsidR="007A4E65" w:rsidRPr="007A4E65" w:rsidRDefault="007A4E65" w:rsidP="007A4E65">
      <w:pPr>
        <w:spacing w:line="480" w:lineRule="auto"/>
        <w:jc w:val="left"/>
        <w:rPr>
          <w:rFonts w:ascii="Times New Roman" w:hAnsi="Times New Roman" w:cs="Times New Roman"/>
          <w:b/>
          <w:sz w:val="24"/>
        </w:rPr>
      </w:pPr>
    </w:p>
    <w:p w14:paraId="76BF08BB" w14:textId="77777777" w:rsidR="001657E8" w:rsidRDefault="007A4E65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7A4E65">
        <w:rPr>
          <w:rFonts w:ascii="Times New Roman" w:hAnsi="Times New Roman" w:cs="Times New Roman"/>
          <w:b/>
          <w:sz w:val="24"/>
        </w:rPr>
        <w:t xml:space="preserve">Figure S2 </w:t>
      </w:r>
      <w:r w:rsidRPr="007A4E65">
        <w:rPr>
          <w:rFonts w:ascii="Times New Roman" w:hAnsi="Times New Roman" w:cs="Times New Roman"/>
          <w:sz w:val="24"/>
        </w:rPr>
        <w:t xml:space="preserve">Quantification of FBL-1C expression and localization. (A) Western blot analysis of FBL-1C-Venus using anti-GFP. Protein samples of 20 and 40 </w:t>
      </w:r>
      <w:proofErr w:type="spellStart"/>
      <w:r w:rsidRPr="007A4E65">
        <w:rPr>
          <w:rFonts w:ascii="Times New Roman" w:hAnsi="Times New Roman" w:cs="Times New Roman"/>
          <w:sz w:val="24"/>
        </w:rPr>
        <w:t>μg</w:t>
      </w:r>
      <w:proofErr w:type="spellEnd"/>
      <w:r w:rsidRPr="007A4E65">
        <w:rPr>
          <w:rFonts w:ascii="Times New Roman" w:hAnsi="Times New Roman" w:cs="Times New Roman"/>
          <w:sz w:val="24"/>
        </w:rPr>
        <w:t xml:space="preserve"> were loaded for each strain. FBL-1C-Venus and anti-α-tubulin (loading control) protein levels on western blots were measured using ImageJ software, and the intensity ratios (FBL-1C-Venus/α-tubulin) are indicated below the respective lanes. </w:t>
      </w:r>
      <w:r w:rsidR="00185F32" w:rsidRPr="00185F32">
        <w:rPr>
          <w:rFonts w:ascii="Times New Roman" w:hAnsi="Times New Roman" w:cs="Times New Roman"/>
          <w:sz w:val="24"/>
        </w:rPr>
        <w:t>Original blots are presented in Supplementary Figure S3</w:t>
      </w:r>
      <w:r w:rsidR="00185F32">
        <w:rPr>
          <w:rFonts w:ascii="Times New Roman" w:hAnsi="Times New Roman" w:cs="Times New Roman"/>
          <w:sz w:val="24"/>
        </w:rPr>
        <w:t>.</w:t>
      </w:r>
      <w:r w:rsidR="00185F32" w:rsidRPr="00185F32">
        <w:rPr>
          <w:rFonts w:ascii="Times New Roman" w:hAnsi="Times New Roman" w:cs="Times New Roman"/>
          <w:sz w:val="24"/>
        </w:rPr>
        <w:t xml:space="preserve"> </w:t>
      </w:r>
      <w:r w:rsidRPr="007A4E65">
        <w:rPr>
          <w:rFonts w:ascii="Times New Roman" w:hAnsi="Times New Roman" w:cs="Times New Roman"/>
          <w:sz w:val="24"/>
        </w:rPr>
        <w:t xml:space="preserve">(B, C) Expression of mNG-FBL-1. (B) Representative confocal image of the pharynx of a wild-type young adult hermaphrodite expressing mNG-FBL-1. Anterior is to the left. Scale bar, 10 </w:t>
      </w:r>
      <w:proofErr w:type="spellStart"/>
      <w:r w:rsidRPr="007A4E65">
        <w:rPr>
          <w:rFonts w:ascii="Times New Roman" w:hAnsi="Times New Roman" w:cs="Times New Roman"/>
          <w:sz w:val="24"/>
        </w:rPr>
        <w:t>μm</w:t>
      </w:r>
      <w:proofErr w:type="spellEnd"/>
      <w:r w:rsidRPr="007A4E65">
        <w:rPr>
          <w:rFonts w:ascii="Times New Roman" w:hAnsi="Times New Roman" w:cs="Times New Roman"/>
          <w:sz w:val="24"/>
        </w:rPr>
        <w:t xml:space="preserve">. Lines 1 to 3 and BG (background), corresponding to pharyngeal basement regions for the </w:t>
      </w:r>
      <w:proofErr w:type="spellStart"/>
      <w:r w:rsidRPr="007A4E65">
        <w:rPr>
          <w:rFonts w:ascii="Times New Roman" w:hAnsi="Times New Roman" w:cs="Times New Roman"/>
          <w:sz w:val="24"/>
        </w:rPr>
        <w:t>metacorpus</w:t>
      </w:r>
      <w:proofErr w:type="spellEnd"/>
      <w:r w:rsidRPr="007A4E65">
        <w:rPr>
          <w:rFonts w:ascii="Times New Roman" w:hAnsi="Times New Roman" w:cs="Times New Roman"/>
          <w:sz w:val="24"/>
        </w:rPr>
        <w:t xml:space="preserve">, isthmus, terminal bulb, and background, were drawn using Fiji software. The fluorescence at the pharyngeal tip corresponds to FBL-1D-Venus expression. (C) Box-and-whisker plot of the average fluorescence intensities of regions 1 to 3. P-values for </w:t>
      </w:r>
      <w:r w:rsidRPr="007A4E65">
        <w:rPr>
          <w:rFonts w:ascii="Times New Roman" w:hAnsi="Times New Roman" w:cs="Times New Roman"/>
          <w:sz w:val="24"/>
        </w:rPr>
        <w:lastRenderedPageBreak/>
        <w:t>Student’s t-test are indicated: NS, not significant. N = 15 for each strain.</w:t>
      </w:r>
    </w:p>
    <w:p w14:paraId="6403D273" w14:textId="77777777" w:rsidR="001F17E1" w:rsidRDefault="001F17E1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</w:p>
    <w:p w14:paraId="4CCDACC8" w14:textId="18D12B04" w:rsidR="001657E8" w:rsidRDefault="001657E8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7A4E65">
        <w:rPr>
          <w:rFonts w:ascii="Times New Roman" w:hAnsi="Times New Roman" w:cs="Times New Roman"/>
          <w:b/>
          <w:sz w:val="24"/>
        </w:rPr>
        <w:t>Figure S</w:t>
      </w:r>
      <w:r w:rsidR="001F17E1">
        <w:rPr>
          <w:rFonts w:ascii="Times New Roman" w:hAnsi="Times New Roman" w:cs="Times New Roman"/>
          <w:b/>
          <w:sz w:val="24"/>
        </w:rPr>
        <w:t xml:space="preserve">3 </w:t>
      </w:r>
      <w:r w:rsidR="001F17E1">
        <w:rPr>
          <w:rFonts w:ascii="Times New Roman" w:hAnsi="Times New Roman" w:cs="Times New Roman"/>
          <w:bCs/>
          <w:sz w:val="24"/>
        </w:rPr>
        <w:t xml:space="preserve">Original Western blots related to Figure 7 and </w:t>
      </w:r>
      <w:r w:rsidR="009A1D3B">
        <w:rPr>
          <w:rFonts w:ascii="Times New Roman" w:hAnsi="Times New Roman" w:cs="Times New Roman"/>
          <w:bCs/>
          <w:sz w:val="24"/>
        </w:rPr>
        <w:t>S</w:t>
      </w:r>
      <w:r w:rsidR="001F17E1">
        <w:rPr>
          <w:rFonts w:ascii="Times New Roman" w:hAnsi="Times New Roman" w:cs="Times New Roman"/>
          <w:bCs/>
          <w:sz w:val="24"/>
        </w:rPr>
        <w:t xml:space="preserve">upplementary figure S2. </w:t>
      </w:r>
      <w:r w:rsidR="001A5A5B" w:rsidRPr="001A5A5B">
        <w:rPr>
          <w:rFonts w:ascii="Times New Roman" w:hAnsi="Times New Roman" w:cs="Times New Roman"/>
          <w:bCs/>
          <w:sz w:val="24"/>
        </w:rPr>
        <w:t>Each dotted line represents a</w:t>
      </w:r>
      <w:r w:rsidR="001A5A5B">
        <w:rPr>
          <w:rFonts w:ascii="Times New Roman" w:hAnsi="Times New Roman" w:cs="Times New Roman"/>
          <w:bCs/>
          <w:sz w:val="24"/>
        </w:rPr>
        <w:t xml:space="preserve"> region</w:t>
      </w:r>
      <w:r w:rsidR="001A5A5B" w:rsidRPr="001A5A5B">
        <w:rPr>
          <w:rFonts w:ascii="Times New Roman" w:hAnsi="Times New Roman" w:cs="Times New Roman" w:hint="eastAsia"/>
          <w:bCs/>
          <w:sz w:val="24"/>
        </w:rPr>
        <w:t xml:space="preserve"> </w:t>
      </w:r>
      <w:r w:rsidR="001A5A5B" w:rsidRPr="001A5A5B">
        <w:rPr>
          <w:rFonts w:ascii="Times New Roman" w:hAnsi="Times New Roman" w:cs="Times New Roman"/>
          <w:bCs/>
          <w:sz w:val="24"/>
        </w:rPr>
        <w:t>shown in the figure.</w:t>
      </w:r>
      <w:r>
        <w:rPr>
          <w:rFonts w:ascii="Times New Roman" w:hAnsi="Times New Roman" w:cs="Times New Roman"/>
          <w:sz w:val="24"/>
        </w:rPr>
        <w:br w:type="page"/>
      </w:r>
    </w:p>
    <w:p w14:paraId="1BFD1C5B" w14:textId="77777777" w:rsidR="00822858" w:rsidRDefault="00822858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</w:p>
    <w:p w14:paraId="3649068B" w14:textId="3088B3A6" w:rsidR="007A4E65" w:rsidRDefault="007A4E65" w:rsidP="007A4E65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60A8F2" wp14:editId="5124C975">
            <wp:extent cx="3981080" cy="3277355"/>
            <wp:effectExtent l="0" t="0" r="0" b="0"/>
            <wp:docPr id="1964539595" name="図 1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9595" name="図 1" descr="グラフ, 棒グラフ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86" cy="32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DEFF" w14:textId="03ABDE6C" w:rsidR="007A4E65" w:rsidRDefault="007A4E65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38076B9" w14:textId="77777777" w:rsidR="007A4E65" w:rsidRDefault="007A4E65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</w:p>
    <w:p w14:paraId="03376F65" w14:textId="2B866649" w:rsidR="001657E8" w:rsidRDefault="007A4E65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490BB4E" wp14:editId="408C1A7A">
            <wp:extent cx="5260094" cy="3974471"/>
            <wp:effectExtent l="0" t="0" r="0" b="635"/>
            <wp:docPr id="1765233105" name="図 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33105" name="図 2" descr="グラフ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95" cy="39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7E8">
        <w:rPr>
          <w:rFonts w:ascii="Times New Roman" w:hAnsi="Times New Roman" w:cs="Times New Roman"/>
          <w:sz w:val="24"/>
        </w:rPr>
        <w:br w:type="page"/>
      </w:r>
    </w:p>
    <w:p w14:paraId="2B6EA858" w14:textId="13375940" w:rsidR="001657E8" w:rsidRDefault="007E7A30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D67B42E" wp14:editId="19F00EDA">
            <wp:extent cx="5396028" cy="5640076"/>
            <wp:effectExtent l="0" t="0" r="1905" b="0"/>
            <wp:docPr id="571952489" name="図 2" descr="設計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52489" name="図 2" descr="設計図 が含まれている画像&#10;&#10;自動的に生成された説明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5" b="13306"/>
                    <a:stretch/>
                  </pic:blipFill>
                  <pic:spPr bwMode="auto">
                    <a:xfrm>
                      <a:off x="0" y="0"/>
                      <a:ext cx="5396230" cy="564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78F4E" w14:textId="5835993D" w:rsidR="007A4E65" w:rsidRPr="007A4E65" w:rsidRDefault="007E7A30" w:rsidP="007A4E65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</w:r>
      <w:r w:rsidR="007E7A30">
        <w:rPr>
          <w:rFonts w:ascii="Times New Roman" w:hAnsi="Times New Roman" w:cs="Times New Roman"/>
          <w:noProof/>
          <w:sz w:val="24"/>
        </w:rPr>
        <w:object w:dxaOrig="14520" w:dyaOrig="19460" w14:anchorId="1B448C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6.3pt;height:558.2pt;mso-width-percent:0;mso-height-percent:0;mso-width-percent:0;mso-height-percent:0" o:ole="">
            <v:imagedata r:id="rId7" o:title=""/>
          </v:shape>
          <o:OLEObject Type="Embed" ProgID="Excel.Sheet.12" ShapeID="_x0000_i1025" DrawAspect="Content" ObjectID="_1793188324" r:id="rId8"/>
        </w:object>
      </w:r>
    </w:p>
    <w:sectPr w:rsidR="007A4E65" w:rsidRPr="007A4E65" w:rsidSect="00F2258E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65"/>
    <w:rsid w:val="001657E8"/>
    <w:rsid w:val="00185F32"/>
    <w:rsid w:val="001A5A5B"/>
    <w:rsid w:val="001F17E1"/>
    <w:rsid w:val="00346F03"/>
    <w:rsid w:val="003546A0"/>
    <w:rsid w:val="0051246F"/>
    <w:rsid w:val="007A4E65"/>
    <w:rsid w:val="007B59FD"/>
    <w:rsid w:val="007E7A30"/>
    <w:rsid w:val="00822858"/>
    <w:rsid w:val="0086753C"/>
    <w:rsid w:val="009A1D3B"/>
    <w:rsid w:val="009F210A"/>
    <w:rsid w:val="00CE1F61"/>
    <w:rsid w:val="00EB472C"/>
    <w:rsid w:val="00F2258E"/>
    <w:rsid w:val="00F7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FFA95B2"/>
  <w15:chartTrackingRefBased/>
  <w15:docId w15:val="{6930C897-0CD6-EF4B-B1A7-936D08DD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4E6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E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4E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4E6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4E6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4E6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4E6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4E6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4E6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A4E6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A4E6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A4E6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A4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A4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A4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A4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A4E6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A4E6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A4E6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A4E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4E6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A4E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4E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A4E6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4E6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A4E6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A4E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A4E6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A4E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______.xls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"/><Relationship Id="rId10" Type="http://schemas.openxmlformats.org/officeDocument/2006/relationships/theme" Target="theme/theme1.xml"/><Relationship Id="rId4" Type="http://schemas.openxmlformats.org/officeDocument/2006/relationships/image" Target="media/image1.t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　憲誠</dc:creator>
  <cp:keywords/>
  <dc:description/>
  <cp:lastModifiedBy>金　憲誠</cp:lastModifiedBy>
  <cp:revision>4</cp:revision>
  <dcterms:created xsi:type="dcterms:W3CDTF">2024-10-29T05:32:00Z</dcterms:created>
  <dcterms:modified xsi:type="dcterms:W3CDTF">2024-11-15T06:05:00Z</dcterms:modified>
</cp:coreProperties>
</file>