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7D43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Inclusion Criteria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:</w:t>
      </w:r>
    </w:p>
    <w:p w14:paraId="6E2D7CED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Age &gt;18 years, no gender restriction;</w:t>
      </w:r>
    </w:p>
    <w:p w14:paraId="1CDABDC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 w:firstLine="0" w:firstLine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Presence of clearly evaluable lesions (RECIST 1.1), histopathologically confirmed gastric adenocarcinoma, and patients scheduled for elective gastrectomy based on clinical evaluation;</w:t>
      </w:r>
    </w:p>
    <w:p w14:paraId="5E9280C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 w:firstLine="0" w:firstLine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No prior immunotherapy or chemotherapy for metastatic lesions, except for radical surgery and postoperative adjuvant therapy;</w:t>
      </w:r>
    </w:p>
    <w:p w14:paraId="40AEE1B4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 w:firstLine="0" w:firstLine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Zubrod-ECOG-WHO (ZPS, 5-point scale) score of 1;</w:t>
      </w:r>
    </w:p>
    <w:p w14:paraId="57C9C492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 w:firstLine="0" w:firstLine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No active autoimmune diseases, no active hepatitis B, and no HIV infection;</w:t>
      </w:r>
    </w:p>
    <w:p w14:paraId="202CE1F3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 w:firstLine="0" w:firstLine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Judged by a clinical physician to have adequate bone marrow, liver, kidney, heart, lung, and nervous system functions to tolerate chemotherapy, immunotherapy, and surgical treatment;</w:t>
      </w:r>
    </w:p>
    <w:p w14:paraId="0857FE1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 w:firstLine="0" w:firstLine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Willing to participate and cooperate with all aspects of the study, including but not limited to treatment and follow-up, data collection by researchers, refraining from other treatments, and signing an informed consent form.</w:t>
      </w:r>
    </w:p>
    <w:p w14:paraId="22854B0E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</w:pPr>
    </w:p>
    <w:p w14:paraId="0C972163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</w:pPr>
    </w:p>
    <w:p w14:paraId="233B5AF7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</w:pPr>
    </w:p>
    <w:p w14:paraId="75AD989F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</w:pPr>
    </w:p>
    <w:p w14:paraId="7E186863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eastAsia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 xml:space="preserve">Exclusion </w:t>
      </w:r>
      <w:r>
        <w:rPr>
          <w:rFonts w:hint="eastAsia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C</w:t>
      </w:r>
      <w:r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riteria</w:t>
      </w:r>
      <w:r>
        <w:rPr>
          <w:rFonts w:hint="eastAsia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:</w:t>
      </w:r>
    </w:p>
    <w:p w14:paraId="34114ECE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Total bilirubin remains more than 1.5 times the upper limit of normal after active jaundice reduction treatments (including but not limited to biliary/gallbladder puncture external drainage, nasobiliary external drainage, biliary stent internal drainage, and biliary-enteric anastomosis internal drainage);</w:t>
      </w:r>
    </w:p>
    <w:p w14:paraId="3BED264F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History of other malignant tumors;</w:t>
      </w:r>
    </w:p>
    <w:p w14:paraId="5B0A2603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Patients requiring surgical treatment for myocardial infarction, cerebral infarction, and other thromboembolic diseases;</w:t>
      </w:r>
    </w:p>
    <w:p w14:paraId="3F954977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Severe infections;</w:t>
      </w:r>
    </w:p>
    <w:p w14:paraId="58B9C3D5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Child-Pugh class C liver function, renal function grades 2-5 (glomerular filtration rate &lt;90 ml/min);</w:t>
      </w:r>
    </w:p>
    <w:p w14:paraId="60CE296D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Pregnant or lactating women, or those planning to conceive;</w:t>
      </w:r>
    </w:p>
    <w:p w14:paraId="5C24375A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Severe mental illness or other reasons deemed unsuitable for participation in this study by the researchers.</w:t>
      </w:r>
      <w:bookmarkStart w:id="0" w:name="_GoBack"/>
      <w:bookmarkEnd w:id="0"/>
    </w:p>
    <w:p w14:paraId="6B454B58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eastAsia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</w:pPr>
    </w:p>
    <w:p w14:paraId="67B38248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480" w:lineRule="auto"/>
        <w:ind w:left="-363" w:leftChars="0"/>
        <w:textAlignment w:val="auto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</w:p>
    <w:p w14:paraId="478322EC">
      <w:pP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0434A2"/>
    <w:multiLevelType w:val="singleLevel"/>
    <w:tmpl w:val="210434A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27D0199"/>
    <w:multiLevelType w:val="singleLevel"/>
    <w:tmpl w:val="327D0199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OGE1OWU0NTMzNDQ3MzkzYzIzZGE1YzQ4YmMzOWYifQ=="/>
  </w:docVars>
  <w:rsids>
    <w:rsidRoot w:val="00000000"/>
    <w:rsid w:val="526C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2024-10-03T17:50:44Z</dcterms:created>
  <dc:creator>hp</dc:creator>
  <cp:lastModifiedBy>YUONG</cp:lastModifiedBy>
  <dcterms:modified xsi:type="dcterms:W3CDTF">2024-10-03T18:07:28Z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4405807595FC4A24B1E5A0E76CABBA1E_12</vt:lpwstr>
  </property>
</Properties>
</file>