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 Bold" w:hAnsi="Times New Roman Bold" w:cs="Times New Roman Bold"/>
          <w:b/>
          <w:bCs/>
        </w:rPr>
      </w:pPr>
      <w:r>
        <w:rPr>
          <w:rFonts w:ascii="Times New Roman Bold" w:hAnsi="Times New Roman Bold" w:cs="Times New Roman Bold"/>
          <w:b/>
          <w:bCs/>
        </w:rPr>
        <w:t>Table S1: Echocardiographic Variables Stratified by RVOT Morphology and Time Point</w:t>
      </w:r>
    </w:p>
    <w:p/>
    <w:tbl>
      <w:tblPr>
        <w:tblStyle w:val="3"/>
        <w:tblpPr w:leftFromText="180" w:rightFromText="180" w:vertAnchor="text" w:horzAnchor="page" w:tblpXSpec="center" w:tblpY="340"/>
        <w:tblOverlap w:val="never"/>
        <w:tblW w:w="1096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1"/>
        <w:gridCol w:w="1644"/>
        <w:gridCol w:w="1644"/>
        <w:gridCol w:w="1644"/>
        <w:gridCol w:w="1644"/>
        <w:gridCol w:w="1644"/>
      </w:tblGrid>
      <w:tr>
        <w:trPr>
          <w:trHeight w:val="680" w:hRule="atLeast"/>
          <w:jc w:val="center"/>
        </w:trPr>
        <w:tc>
          <w:tcPr>
            <w:tcW w:w="274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hint="eastAsia" w:ascii="Times New Roman Bold" w:hAnsi="Times New Roman Bold" w:cs="Times New Roman Bold"/>
                <w:b/>
                <w:bCs/>
              </w:rPr>
              <w:t>Pre-procedure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hint="eastAsia" w:ascii="Times New Roman Bold" w:hAnsi="Times New Roman Bold" w:cs="Times New Roman Bold"/>
                <w:b/>
                <w:bCs/>
              </w:rPr>
              <w:t xml:space="preserve">At the </w:t>
            </w:r>
            <w:r>
              <w:rPr>
                <w:rFonts w:ascii="Times New Roman Bold" w:hAnsi="Times New Roman Bold" w:cs="Times New Roman Bold"/>
                <w:b/>
                <w:bCs/>
              </w:rPr>
              <w:t>First Month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hint="eastAsia" w:ascii="Times New Roman Bold" w:hAnsi="Times New Roman Bold" w:cs="Times New Roman Bold"/>
                <w:b/>
                <w:bCs/>
              </w:rPr>
              <w:t xml:space="preserve">At the </w:t>
            </w:r>
            <w:r>
              <w:rPr>
                <w:rFonts w:ascii="Times New Roman Bold" w:hAnsi="Times New Roman Bold" w:cs="Times New Roman Bold"/>
                <w:b/>
                <w:bCs/>
              </w:rPr>
              <w:t>Third Year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hint="eastAsia" w:ascii="Times New Roman Bold" w:hAnsi="Times New Roman Bold" w:cs="Times New Roman Bold"/>
                <w:b/>
                <w:bCs/>
              </w:rPr>
              <w:t>Pre</w:t>
            </w:r>
            <w:r>
              <w:rPr>
                <w:rFonts w:ascii="Times New Roman Bold" w:hAnsi="Times New Roman Bold" w:cs="Times New Roman Bold"/>
                <w:b/>
                <w:bCs/>
              </w:rPr>
              <w:t>. vs First Month.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Pre. vs Third Month.</w:t>
            </w: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Pyramid Type</w:t>
            </w:r>
          </w:p>
        </w:tc>
        <w:tc>
          <w:tcPr>
            <w:tcW w:w="164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n = 15</w:t>
            </w:r>
          </w:p>
        </w:tc>
        <w:tc>
          <w:tcPr>
            <w:tcW w:w="164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n = 11</w:t>
            </w:r>
          </w:p>
        </w:tc>
        <w:tc>
          <w:tcPr>
            <w:tcW w:w="164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n = 13</w:t>
            </w:r>
          </w:p>
        </w:tc>
        <w:tc>
          <w:tcPr>
            <w:tcW w:w="164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210" w:firstLineChars="100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Pulmonary regurgitation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none/trival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(100)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(100)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 (6.7)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severe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14 (93.3)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210" w:firstLineChars="100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Tricuspid regurgitation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none / trivial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4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(81.8)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(84.6)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mild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12</w:t>
            </w:r>
            <w:r>
              <w:rPr>
                <w:rFonts w:ascii="Times New Roman Regular" w:hAnsi="Times New Roman Regular" w:cs="Times New Roman Regular"/>
              </w:rPr>
              <w:t xml:space="preserve"> (80)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(18.2)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(15.4)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moderate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 xml:space="preserve"> (20)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severe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210" w:firstLineChars="100"/>
              <w:jc w:val="left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RVEDD, mm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38</w:t>
            </w:r>
            <w:r>
              <w:rPr>
                <w:rFonts w:ascii="Times New Roman" w:hAnsi="Times New Roman" w:eastAsia="DengXian" w:cs="Times New Roman"/>
                <w:sz w:val="24"/>
                <w:lang w:bidi="ar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>[33, 43]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 xml:space="preserve">29 </w:t>
            </w:r>
            <w:r>
              <w:rPr>
                <w:rFonts w:ascii="Times New Roman Regular" w:hAnsi="Times New Roman Regular" w:cs="Times New Roman Regular"/>
              </w:rPr>
              <w:t>[25, 36]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 xml:space="preserve">29 </w:t>
            </w:r>
            <w:r>
              <w:rPr>
                <w:rFonts w:ascii="Times New Roman Regular" w:hAnsi="Times New Roman Regular" w:cs="Times New Roman Regular"/>
              </w:rPr>
              <w:t>[26, 30]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0.029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Other Types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n = 53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n = 45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n = 49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210" w:firstLineChars="100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Pulmonary regurgitation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none/trival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(100)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 (100)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 (7)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severe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49 (86)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210" w:firstLineChars="100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Tricuspid regurgitation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none / trivial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5</w:t>
            </w:r>
            <w:r>
              <w:rPr>
                <w:rFonts w:ascii="Times New Roman Regular" w:hAnsi="Times New Roman Regular" w:cs="Times New Roman Regular"/>
              </w:rPr>
              <w:t xml:space="preserve"> (9.4)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(66.7)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(71.4)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mild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34</w:t>
            </w:r>
            <w:r>
              <w:rPr>
                <w:rFonts w:ascii="Times New Roman Regular" w:hAnsi="Times New Roman Regular" w:cs="Times New Roman Regular"/>
              </w:rPr>
              <w:t xml:space="preserve"> (64.2)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(20)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(16.3)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moderate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7</w:t>
            </w:r>
            <w:r>
              <w:rPr>
                <w:rFonts w:ascii="Times New Roman Regular" w:hAnsi="Times New Roman Regular" w:cs="Times New Roman Regular"/>
              </w:rPr>
              <w:t xml:space="preserve"> (13.2)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(8.9)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(8.2)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severe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7</w:t>
            </w:r>
            <w:r>
              <w:rPr>
                <w:rFonts w:ascii="Times New Roman Regular" w:hAnsi="Times New Roman Regular" w:cs="Times New Roman Regular"/>
              </w:rPr>
              <w:t xml:space="preserve"> (13.2)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(4.4)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(4.1)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2741" w:type="dxa"/>
            <w:tcBorders>
              <w:tl2br w:val="nil"/>
              <w:tr2bl w:val="nil"/>
            </w:tcBorders>
            <w:vAlign w:val="center"/>
          </w:tcPr>
          <w:p>
            <w:pPr>
              <w:ind w:firstLine="210" w:firstLineChars="100"/>
              <w:jc w:val="left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RVEDD, mm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36</w:t>
            </w:r>
            <w:r>
              <w:rPr>
                <w:rFonts w:ascii="Times New Roman" w:hAnsi="Times New Roman" w:eastAsia="DengXian" w:cs="Times New Roman"/>
                <w:sz w:val="24"/>
                <w:lang w:bidi="ar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>[30, 40.5]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 xml:space="preserve">29 </w:t>
            </w:r>
            <w:r>
              <w:rPr>
                <w:rFonts w:ascii="Times New Roman Regular" w:hAnsi="Times New Roman Regular" w:cs="Times New Roman Regular"/>
              </w:rPr>
              <w:t>[25.5, 33.5]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 xml:space="preserve">28 </w:t>
            </w:r>
            <w:r>
              <w:rPr>
                <w:rFonts w:ascii="Times New Roman Regular" w:hAnsi="Times New Roman Regular" w:cs="Times New Roman Regular"/>
              </w:rPr>
              <w:t>[25.5, 30]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&lt; 0.001</w:t>
            </w:r>
          </w:p>
        </w:tc>
      </w:tr>
    </w:tbl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Data provided as N (%) or median [25</w:t>
      </w:r>
      <w:r>
        <w:rPr>
          <w:rFonts w:ascii="Times New Roman Regular" w:hAnsi="Times New Roman Regular" w:cs="Times New Roman Regular"/>
          <w:vertAlign w:val="superscript"/>
        </w:rPr>
        <w:t>th</w:t>
      </w:r>
      <w:r>
        <w:rPr>
          <w:rFonts w:ascii="Times New Roman Regular" w:hAnsi="Times New Roman Regular" w:cs="Times New Roman Regular"/>
        </w:rPr>
        <w:t>, 75</w:t>
      </w:r>
      <w:r>
        <w:rPr>
          <w:rFonts w:ascii="Times New Roman Regular" w:hAnsi="Times New Roman Regular" w:cs="Times New Roman Regular"/>
          <w:vertAlign w:val="superscript"/>
        </w:rPr>
        <w:t xml:space="preserve">th </w:t>
      </w:r>
      <w:r>
        <w:rPr>
          <w:rFonts w:ascii="Times New Roman Regular" w:hAnsi="Times New Roman Regular" w:cs="Times New Roman Regular"/>
        </w:rPr>
        <w:t xml:space="preserve">percentile]. RVEDD = right ventricular end-diastolic </w:t>
      </w: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br w:type="page"/>
      </w:r>
    </w:p>
    <w:p>
      <w:pPr>
        <w:rPr>
          <w:rFonts w:ascii="Times New Roman Bold" w:hAnsi="Times New Roman Bold" w:cs="Times New Roman Bold"/>
          <w:b/>
          <w:bCs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>
      <w:pPr>
        <w:jc w:val="center"/>
        <w:rPr>
          <w:rFonts w:ascii="Times New Roman Bold" w:hAnsi="Times New Roman Bold" w:cs="Times New Roman Bold"/>
          <w:b/>
          <w:bCs/>
        </w:rPr>
      </w:pPr>
      <w:r>
        <w:rPr>
          <w:rFonts w:ascii="Times New Roman Bold" w:hAnsi="Times New Roman Bold" w:cs="Times New Roman Bold"/>
          <w:b/>
          <w:bCs/>
        </w:rPr>
        <w:t>Table S2: Procedure Details</w:t>
      </w:r>
      <w:r>
        <w:rPr>
          <w:rFonts w:hint="eastAsia" w:ascii="Times New Roman Bold" w:hAnsi="Times New Roman Bold" w:cs="Times New Roman Bold"/>
          <w:b/>
          <w:bCs/>
        </w:rPr>
        <w:t xml:space="preserve">, </w:t>
      </w:r>
      <w:r>
        <w:rPr>
          <w:rFonts w:ascii="Times New Roman Bold" w:hAnsi="Times New Roman Bold" w:cs="Times New Roman Bold"/>
          <w:b/>
          <w:bCs/>
        </w:rPr>
        <w:t>CT Characteristics</w:t>
      </w:r>
      <w:r>
        <w:rPr>
          <w:rFonts w:hint="eastAsia" w:ascii="Times New Roman Bold" w:hAnsi="Times New Roman Bold" w:cs="Times New Roman Bold"/>
          <w:b/>
          <w:bCs/>
        </w:rPr>
        <w:t xml:space="preserve">, </w:t>
      </w:r>
      <w:r>
        <w:rPr>
          <w:rFonts w:ascii="Times New Roman Bold" w:hAnsi="Times New Roman Bold" w:cs="Times New Roman Bold"/>
          <w:b/>
          <w:bCs/>
        </w:rPr>
        <w:t xml:space="preserve">and </w:t>
      </w:r>
      <w:r>
        <w:rPr>
          <w:rFonts w:hint="eastAsia" w:ascii="Times New Roman Bold" w:hAnsi="Times New Roman Bold" w:cs="Times New Roman Bold"/>
          <w:b/>
          <w:bCs/>
        </w:rPr>
        <w:t>Post-procedure Echocardiographic Assessment</w:t>
      </w:r>
      <w:r>
        <w:rPr>
          <w:rFonts w:ascii="Times New Roman Bold" w:hAnsi="Times New Roman Bold" w:cs="Times New Roman Bold"/>
          <w:b/>
          <w:bCs/>
        </w:rPr>
        <w:t xml:space="preserve"> of the Pyramid-type Group</w:t>
      </w:r>
    </w:p>
    <w:p>
      <w:pPr>
        <w:jc w:val="center"/>
        <w:rPr>
          <w:rFonts w:ascii="Times New Roman Bold" w:hAnsi="Times New Roman Bold" w:cs="Times New Roman Bold"/>
          <w:b/>
          <w:bCs/>
        </w:rPr>
      </w:pPr>
    </w:p>
    <w:tbl>
      <w:tblPr>
        <w:tblStyle w:val="3"/>
        <w:tblW w:w="1628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084"/>
        <w:gridCol w:w="1090"/>
        <w:gridCol w:w="1587"/>
        <w:gridCol w:w="1580"/>
        <w:gridCol w:w="1582"/>
        <w:gridCol w:w="1582"/>
        <w:gridCol w:w="1604"/>
        <w:gridCol w:w="1794"/>
        <w:gridCol w:w="1734"/>
        <w:gridCol w:w="1734"/>
      </w:tblGrid>
      <w:tr>
        <w:trPr>
          <w:jc w:val="center"/>
        </w:trPr>
        <w:tc>
          <w:tcPr>
            <w:tcW w:w="916" w:type="dxa"/>
            <w:vMerge w:val="restart"/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Subject</w:t>
            </w:r>
          </w:p>
        </w:tc>
        <w:tc>
          <w:tcPr>
            <w:tcW w:w="217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Valve Type</w:t>
            </w:r>
          </w:p>
        </w:tc>
        <w:tc>
          <w:tcPr>
            <w:tcW w:w="793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Pre-procedure CT Characteristics</w:t>
            </w:r>
          </w:p>
        </w:tc>
        <w:tc>
          <w:tcPr>
            <w:tcW w:w="52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hint="eastAsia" w:ascii="Times New Roman Bold" w:hAnsi="Times New Roman Bold" w:cs="Times New Roman Bold"/>
                <w:b/>
                <w:bCs/>
              </w:rPr>
              <w:t>Post-procedure Echocardiographic Assessment</w:t>
            </w:r>
          </w:p>
        </w:tc>
      </w:tr>
      <w:tr>
        <w:trPr>
          <w:jc w:val="center"/>
        </w:trPr>
        <w:tc>
          <w:tcPr>
            <w:tcW w:w="916" w:type="dxa"/>
            <w:vMerge w:val="continue"/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0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Diameter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(mm)</w:t>
            </w:r>
          </w:p>
        </w:tc>
        <w:tc>
          <w:tcPr>
            <w:tcW w:w="109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(mm)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Annulus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diameter</w:t>
            </w:r>
            <w:r>
              <w:rPr>
                <w:rFonts w:ascii="Times New Roman" w:hAnsi="Times New Roman" w:cs="Times New Roman"/>
              </w:rPr>
              <w:t xml:space="preserve"> (mm)</w:t>
            </w:r>
          </w:p>
        </w:tc>
        <w:tc>
          <w:tcPr>
            <w:tcW w:w="15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Mid</w:t>
            </w:r>
            <w:r>
              <w:rPr>
                <w:rFonts w:ascii="Times New Roman" w:hAnsi="Times New Roman" w:cs="Times New Roman"/>
              </w:rPr>
              <w:t>-valve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diameter</w:t>
            </w:r>
            <w:r>
              <w:rPr>
                <w:rFonts w:ascii="Times New Roman" w:hAnsi="Times New Roman" w:cs="Times New Roman"/>
              </w:rPr>
              <w:t xml:space="preserve"> (mm)</w:t>
            </w: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</w:t>
            </w:r>
            <w:r>
              <w:rPr>
                <w:rFonts w:hint="default" w:ascii="Times New Roman" w:hAnsi="Times New Roman" w:cs="Times New Roman"/>
                <w:lang w:val="en-US"/>
              </w:rPr>
              <w:t>pra</w:t>
            </w:r>
            <w:r>
              <w:rPr>
                <w:rFonts w:ascii="Times New Roman" w:hAnsi="Times New Roman" w:cs="Times New Roman"/>
              </w:rPr>
              <w:t>-valve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diameter</w:t>
            </w:r>
            <w:r>
              <w:rPr>
                <w:rFonts w:ascii="Times New Roman" w:hAnsi="Times New Roman" w:cs="Times New Roman"/>
              </w:rPr>
              <w:t xml:space="preserve"> (mm)</w:t>
            </w: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Mid-trunk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diameter</w:t>
            </w:r>
            <w:r>
              <w:rPr>
                <w:rFonts w:ascii="Times New Roman" w:hAnsi="Times New Roman" w:cs="Times New Roman"/>
              </w:rPr>
              <w:t xml:space="preserve"> (mm)</w:t>
            </w:r>
          </w:p>
        </w:tc>
        <w:tc>
          <w:tcPr>
            <w:tcW w:w="160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Pre-bifurcation </w:t>
            </w:r>
            <w:r>
              <w:rPr>
                <w:rFonts w:hint="default" w:ascii="Times New Roman" w:hAnsi="Times New Roman" w:cs="Times New Roman"/>
                <w:lang w:val="en-US"/>
              </w:rPr>
              <w:t>diameter</w:t>
            </w:r>
            <w:r>
              <w:rPr>
                <w:rFonts w:ascii="Times New Roman" w:hAnsi="Times New Roman" w:cs="Times New Roman"/>
              </w:rPr>
              <w:t xml:space="preserve"> (mm)</w:t>
            </w:r>
          </w:p>
        </w:tc>
        <w:tc>
          <w:tcPr>
            <w:tcW w:w="179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MIG across RVOT (mmHg)</w:t>
            </w:r>
          </w:p>
        </w:tc>
        <w:tc>
          <w:tcPr>
            <w:tcW w:w="17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Regurgitation</w:t>
            </w:r>
          </w:p>
        </w:tc>
        <w:tc>
          <w:tcPr>
            <w:tcW w:w="17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Tricuspid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Regurgitation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35" w:type="dxa"/>
            <w:gridSpan w:val="5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Maximal/Average</w:t>
            </w: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7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7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1</w:t>
            </w:r>
          </w:p>
        </w:tc>
        <w:tc>
          <w:tcPr>
            <w:tcW w:w="108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9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8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6.1</w:t>
            </w:r>
            <w:r>
              <w:rPr>
                <w:rFonts w:hint="default" w:ascii="Times New Roman" w:hAnsi="Times New Roman" w:cs="Times New Roman"/>
                <w:lang w:val="en-US"/>
              </w:rPr>
              <w:t xml:space="preserve"> / 30.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158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lang w:val="en-US"/>
              </w:rPr>
              <w:t>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lang w:val="en-US"/>
              </w:rPr>
              <w:t xml:space="preserve"> /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29.4</w:t>
            </w:r>
          </w:p>
        </w:tc>
        <w:tc>
          <w:tcPr>
            <w:tcW w:w="158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4.9</w:t>
            </w:r>
            <w:r>
              <w:rPr>
                <w:rFonts w:hint="default" w:ascii="Times New Roman" w:hAnsi="Times New Roman" w:cs="Times New Roman"/>
                <w:lang w:val="en-US"/>
              </w:rPr>
              <w:t xml:space="preserve"> /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30.1</w:t>
            </w:r>
            <w:r>
              <w:rPr>
                <w:rFonts w:hint="default"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58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34.8 / 29.6</w:t>
            </w:r>
          </w:p>
        </w:tc>
        <w:tc>
          <w:tcPr>
            <w:tcW w:w="160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31.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lang w:val="en-US"/>
              </w:rPr>
              <w:t xml:space="preserve"> /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27.3</w:t>
            </w:r>
          </w:p>
        </w:tc>
        <w:tc>
          <w:tcPr>
            <w:tcW w:w="179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6.8</w:t>
            </w:r>
          </w:p>
        </w:tc>
        <w:tc>
          <w:tcPr>
            <w:tcW w:w="17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2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40.3 / 34.2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43.9 / 37.8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42.1 / 34.5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36.1 / 33.7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31.6 / 27.8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trivial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34.5 / 26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33.2 / 24.7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30.9 / 25.4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28.5 / 23.3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25.1 / 22.1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48.6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trivial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38.6 / 27.6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35.2 / 26.8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33.9 / 24.4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28.7 / 25.4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29.1 / 24.1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21.2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40.5 / 29.3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37.2 / 27.8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32.6 / 25.8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31.7 / 25.3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26.3 / 22.1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53.7 / 46.1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52.7 / 44.8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44.8 / 40.1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40 / 36.2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39 / 34.7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3.2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7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35.9 / 30.8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37.1 / 32.5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 xml:space="preserve">36.4 / 32 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34.8 / 30.3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31.3 / 30.4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6.8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trivial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8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35.2 / 30.7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33.7 / 27.2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32.3 / 26.2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28.8 / 24.8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27.6 / 25.4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7.8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9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40.1 / 33.9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38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.3 / 30.4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32.1 / 28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32.2 / 26.9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33 / 29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21.2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10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39.3 / 33.8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40.5 / 34.3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37.1 / 30.3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36.4 / 29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34.6 / 28.7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10.2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trivial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11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48.2 / 44.1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45.8 / 40.5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40.8 / 36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36.4 / 30.2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29.1 / 27.3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6.8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trivial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12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39.5 / 29.6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35.5 / 24.8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32.9 / 23.4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29.7 / 23.3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28.1 / 23.1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13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54.6 / 46.7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49.8 / 43.9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47.1 / 41.2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43.3 / 39.4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35.2 / 34.3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trivial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14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36.8 / 32.5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39 / 34.5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37.1 / 33.2 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33.5 / 30.1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31.8 / 29.3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7.8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  <w:tr>
        <w:trPr>
          <w:trHeight w:val="454" w:hRule="atLeast"/>
          <w:jc w:val="center"/>
        </w:trPr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15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32.8 / 29.2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41.9 / 36.1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42.3 / 36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35 / 31.7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32.4 / 29.9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11.6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none</w:t>
            </w:r>
          </w:p>
        </w:tc>
      </w:tr>
    </w:tbl>
    <w:p>
      <w:pPr>
        <w:rPr>
          <w:rFonts w:ascii="Times New Roman Bold" w:hAnsi="Times New Roman Bold" w:cs="Times New Roman Bold"/>
          <w:b/>
          <w:bCs/>
        </w:rPr>
      </w:pPr>
    </w:p>
    <w:p>
      <w:pPr>
        <w:rPr>
          <w:rFonts w:ascii="Times New Roman Bold" w:hAnsi="Times New Roman Bold" w:cs="Times New Roman Bold"/>
          <w:b/>
          <w:bCs/>
        </w:rPr>
      </w:pPr>
    </w:p>
    <w:p>
      <w:pPr>
        <w:rPr>
          <w:rFonts w:ascii="Times New Roman Bold" w:hAnsi="Times New Roman Bold" w:cs="Times New Roman Bold"/>
          <w:b/>
          <w:bCs/>
        </w:rPr>
      </w:pPr>
    </w:p>
    <w:p>
      <w:pPr>
        <w:rPr>
          <w:rFonts w:ascii="Times New Roman Bold" w:hAnsi="Times New Roman Bold" w:cs="Times New Roman Bold"/>
          <w:b/>
          <w:bCs/>
        </w:rPr>
      </w:pPr>
    </w:p>
    <w:p>
      <w:pPr>
        <w:rPr>
          <w:rFonts w:ascii="Times New Roman Bold" w:hAnsi="Times New Roman Bold" w:cs="Times New Roman Bold"/>
          <w:b/>
          <w:bCs/>
        </w:rPr>
      </w:pPr>
    </w:p>
    <w:p>
      <w:pPr>
        <w:widowControl/>
        <w:jc w:val="left"/>
        <w:rPr>
          <w:rFonts w:ascii="Times New Roman Bold" w:hAnsi="Times New Roman Bold" w:cs="Times New Roman Bold"/>
          <w:b/>
          <w:bCs/>
        </w:rPr>
      </w:pPr>
      <w:r>
        <w:rPr>
          <w:rFonts w:ascii="Times New Roman Bold" w:hAnsi="Times New Roman Bold" w:cs="Times New Roman Bold"/>
          <w:b/>
          <w:bCs/>
        </w:rPr>
        <w:br w:type="page"/>
      </w:r>
    </w:p>
    <w:p>
      <w:pPr>
        <w:jc w:val="center"/>
        <w:rPr>
          <w:rFonts w:ascii="Times New Roman" w:hAnsi="Times New Roman"/>
          <w:b/>
          <w:bCs/>
          <w:sz w:val="24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jc w:val="center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b/>
          <w:bCs/>
          <w:sz w:val="24"/>
        </w:rPr>
        <w:t>T Acquisition and Processing</w:t>
      </w:r>
    </w:p>
    <w:p>
      <w:pPr>
        <w:spacing w:line="48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All patients were examined with a </w:t>
      </w:r>
      <w:r>
        <w:rPr>
          <w:rFonts w:ascii="Times New Roman" w:hAnsi="Times New Roman"/>
          <w:sz w:val="24"/>
        </w:rPr>
        <w:t>Revolution</w:t>
      </w:r>
      <w:r>
        <w:rPr>
          <w:rFonts w:hint="eastAsia" w:ascii="Times New Roman" w:hAnsi="Times New Roman"/>
          <w:sz w:val="24"/>
        </w:rPr>
        <w:t xml:space="preserve"> CT scanner (GE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Healthcare</w:t>
      </w:r>
      <w:r>
        <w:rPr>
          <w:rFonts w:ascii="Times New Roman" w:hAnsi="Times New Roman"/>
          <w:sz w:val="24"/>
        </w:rPr>
        <w:t>, Milwaukee, Wisconsin</w:t>
      </w:r>
      <w:r>
        <w:rPr>
          <w:rFonts w:hint="eastAsia" w:ascii="Times New Roman" w:hAnsi="Times New Roman"/>
          <w:sz w:val="24"/>
        </w:rPr>
        <w:t>). A 100-kV tube potential was used for patients with a body mass index (BMI) &lt; 30 kg/m</w:t>
      </w:r>
      <w:r>
        <w:rPr>
          <w:rFonts w:hint="eastAsia" w:ascii="宋体" w:hAnsi="宋体"/>
          <w:sz w:val="24"/>
        </w:rPr>
        <w:t>²</w:t>
      </w:r>
      <w:r>
        <w:rPr>
          <w:rFonts w:hint="eastAsia"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 xml:space="preserve">and </w:t>
      </w:r>
      <w:r>
        <w:rPr>
          <w:rFonts w:hint="eastAsia" w:ascii="Times New Roman" w:hAnsi="Times New Roman"/>
          <w:sz w:val="24"/>
        </w:rPr>
        <w:t xml:space="preserve">120 kV for BMI </w:t>
      </w:r>
      <w:r>
        <w:rPr>
          <w:rFonts w:hint="eastAsia" w:ascii="宋体" w:hAnsi="宋体"/>
          <w:sz w:val="24"/>
        </w:rPr>
        <w:t>≥</w:t>
      </w:r>
      <w:r>
        <w:rPr>
          <w:rFonts w:hint="eastAsia" w:ascii="Times New Roman" w:hAnsi="Times New Roman"/>
          <w:sz w:val="24"/>
        </w:rPr>
        <w:t>30 kg/m</w:t>
      </w:r>
      <w:r>
        <w:rPr>
          <w:rFonts w:hint="eastAsia" w:ascii="宋体" w:hAnsi="宋体"/>
          <w:sz w:val="24"/>
        </w:rPr>
        <w:t>²</w:t>
      </w:r>
      <w:r>
        <w:rPr>
          <w:rFonts w:hint="eastAsia" w:ascii="Times New Roman" w:hAnsi="Times New Roman"/>
          <w:sz w:val="24"/>
        </w:rPr>
        <w:t>. X</w:t>
      </w:r>
      <w:r>
        <w:rPr>
          <w:rFonts w:ascii="Times New Roman" w:hAnsi="Times New Roman"/>
          <w:sz w:val="24"/>
        </w:rPr>
        <w:t>-ray effective tube current was 300 mA</w:t>
      </w:r>
      <w:r>
        <w:rPr>
          <w:rFonts w:hint="eastAsia"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For contrast medium enhancement, automated bolus tracking was used in a region of interest within the </w:t>
      </w:r>
      <w:r>
        <w:rPr>
          <w:rFonts w:hint="eastAsia" w:ascii="Times New Roman" w:hAnsi="Times New Roman"/>
          <w:sz w:val="24"/>
        </w:rPr>
        <w:t>four</w:t>
      </w:r>
      <w:r>
        <w:rPr>
          <w:rFonts w:ascii="Times New Roman" w:hAnsi="Times New Roman"/>
          <w:sz w:val="24"/>
        </w:rPr>
        <w:t>-</w:t>
      </w:r>
      <w:r>
        <w:rPr>
          <w:rFonts w:hint="eastAsia" w:ascii="Times New Roman" w:hAnsi="Times New Roman"/>
          <w:sz w:val="24"/>
        </w:rPr>
        <w:t>chamber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p</w:t>
      </w:r>
      <w:r>
        <w:rPr>
          <w:rFonts w:ascii="Times New Roman" w:hAnsi="Times New Roman"/>
          <w:sz w:val="24"/>
        </w:rPr>
        <w:t xml:space="preserve">lane, with a </w:t>
      </w:r>
      <w:r>
        <w:rPr>
          <w:rFonts w:hint="eastAsia" w:ascii="Times New Roman" w:hAnsi="Times New Roman"/>
          <w:sz w:val="24"/>
        </w:rPr>
        <w:t>uniform</w:t>
      </w:r>
      <w:r>
        <w:rPr>
          <w:rFonts w:ascii="Times New Roman" w:hAnsi="Times New Roman"/>
          <w:sz w:val="24"/>
        </w:rPr>
        <w:t xml:space="preserve"> signal attenuation </w:t>
      </w:r>
      <w:r>
        <w:rPr>
          <w:rFonts w:hint="eastAsia" w:ascii="Times New Roman" w:hAnsi="Times New Roman"/>
          <w:sz w:val="24"/>
        </w:rPr>
        <w:t>manual</w:t>
      </w:r>
      <w:r>
        <w:rPr>
          <w:rFonts w:ascii="Times New Roman" w:hAnsi="Times New Roman"/>
          <w:sz w:val="24"/>
        </w:rPr>
        <w:t xml:space="preserve"> trigger and a 3-second scan delay. The main scanning parameters were as follows: 256*0.625 </w:t>
      </w:r>
      <w:r>
        <w:rPr>
          <w:rFonts w:hint="eastAsia" w:ascii="Times New Roman" w:hAnsi="Times New Roman"/>
          <w:sz w:val="24"/>
        </w:rPr>
        <w:t>mm</w:t>
      </w:r>
      <w:r>
        <w:rPr>
          <w:rFonts w:ascii="Times New Roman" w:hAnsi="Times New Roman"/>
          <w:sz w:val="24"/>
        </w:rPr>
        <w:t xml:space="preserve"> slice configuration with scintillator detector and 280 ms gantry rotation time. We used a double-phase contrast medium injection protocol, which consisted of 1ml/kg of iodixanol 320 (Visipaque 320 mg/ml, GE Healthcare, Oslo, Norway) followed by a 1 ml/kg saline chaser bolus, all injected with flow rates of 1 mL/kg/s.</w:t>
      </w:r>
    </w:p>
    <w:p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 patients in the pyramid-type group, baseline CT characteristics</w:t>
      </w:r>
      <w:r>
        <w:rPr>
          <w:rFonts w:hint="eastAsia" w:ascii="Times New Roman" w:hAnsi="Times New Roman"/>
          <w:sz w:val="24"/>
        </w:rPr>
        <w:t xml:space="preserve"> were</w:t>
      </w:r>
      <w:r>
        <w:rPr>
          <w:rFonts w:ascii="Times New Roman" w:hAnsi="Times New Roman"/>
          <w:sz w:val="24"/>
        </w:rPr>
        <w:t xml:space="preserve"> assessed with standard definitions of Supra-valve, annulus, </w:t>
      </w:r>
      <w:bookmarkStart w:id="0" w:name="_GoBack"/>
      <w:bookmarkEnd w:id="0"/>
      <w:r>
        <w:rPr>
          <w:rFonts w:ascii="Times New Roman" w:hAnsi="Times New Roman"/>
          <w:sz w:val="24"/>
        </w:rPr>
        <w:t>sub-valve, mid-trunk, and pre-bifurcation area on pre-procedure CT imaging, performed on the 3</w:t>
      </w:r>
      <w:r>
        <w:rPr>
          <w:rFonts w:ascii="Times New Roman" w:hAnsi="Times New Roman" w:cs="Times New Roman"/>
          <w:sz w:val="24"/>
        </w:rPr>
        <w:t>mensio software (3mensio Medical Imaging BV, Bilthoven, The Netherlands)</w:t>
      </w:r>
      <w:r>
        <w:rPr>
          <w:rFonts w:ascii="Times New Roman" w:hAnsi="Times New Roman"/>
          <w:sz w:val="24"/>
        </w:rPr>
        <w:t>. All evaluations and measurements were performed on 1 phase of systole (35% to 45% of the R-R interval) for each patient by a single radiologist at Fuwai Hospital (Investigator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1: N. L. Y), based on the assumption that the RVOT structure of mid-systole was the largest during the cardiac cycle.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EA0040"/>
    <w:rsid w:val="00007F9B"/>
    <w:rsid w:val="00117D02"/>
    <w:rsid w:val="001B4F4B"/>
    <w:rsid w:val="001D13AE"/>
    <w:rsid w:val="002E7C3A"/>
    <w:rsid w:val="007D02FD"/>
    <w:rsid w:val="00874CCE"/>
    <w:rsid w:val="009C73D1"/>
    <w:rsid w:val="00A56BCF"/>
    <w:rsid w:val="00EF5DF2"/>
    <w:rsid w:val="2FEE2B08"/>
    <w:rsid w:val="3AE79DF8"/>
    <w:rsid w:val="51F7AC98"/>
    <w:rsid w:val="5DBB5884"/>
    <w:rsid w:val="5FF3E965"/>
    <w:rsid w:val="77C78EEF"/>
    <w:rsid w:val="CFEA0040"/>
    <w:rsid w:val="EB6F6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522</Words>
  <Characters>2977</Characters>
  <Lines>24</Lines>
  <Paragraphs>6</Paragraphs>
  <TotalTime>40</TotalTime>
  <ScaleCrop>false</ScaleCrop>
  <LinksUpToDate>false</LinksUpToDate>
  <CharactersWithSpaces>3493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2024-03-09T20:42:00Z</dcterms:created>
  <dc:creator>自闭症儿童勿扰</dc:creator>
  <cp:lastModifiedBy>自闭症儿童勿扰</cp:lastModifiedBy>
  <dcterms:modified xsi:type="dcterms:W3CDTF">2024-06-24T13:22:08Z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5DD04AB9E81E03892E97EA659941D2E0_41</vt:lpwstr>
  </property>
</Properties>
</file>