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74E" w:rsidRPr="002A5D5A" w:rsidRDefault="00C37576" w:rsidP="00326B66">
      <w:pPr>
        <w:spacing w:line="276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  <w:r w:rsidR="0051774E">
        <w:rPr>
          <w:rFonts w:ascii="Times New Roman" w:hAnsi="Times New Roman" w:cs="Times New Roman"/>
          <w:b/>
          <w:sz w:val="24"/>
          <w:szCs w:val="24"/>
        </w:rPr>
        <w:t xml:space="preserve"> 1  T</w:t>
      </w:r>
      <w:r w:rsidR="0051774E">
        <w:rPr>
          <w:rFonts w:ascii="Times New Roman" w:hAnsi="Times New Roman" w:cs="Times New Roman" w:hint="eastAsia"/>
          <w:b/>
          <w:sz w:val="24"/>
          <w:szCs w:val="24"/>
        </w:rPr>
        <w:t>he</w:t>
      </w:r>
      <w:r w:rsidR="005177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774E" w:rsidRPr="0051774E">
        <w:rPr>
          <w:rFonts w:ascii="Times New Roman" w:hAnsi="Times New Roman" w:cs="Times New Roman"/>
          <w:b/>
          <w:sz w:val="24"/>
          <w:szCs w:val="24"/>
        </w:rPr>
        <w:t>recommendations review form</w:t>
      </w:r>
      <w:r w:rsidR="00424DBC">
        <w:rPr>
          <w:rFonts w:ascii="Times New Roman" w:hAnsi="Times New Roman" w:cs="Times New Roman"/>
          <w:b/>
          <w:sz w:val="24"/>
          <w:szCs w:val="24"/>
        </w:rPr>
        <w:t xml:space="preserve"> (FAME)</w:t>
      </w:r>
    </w:p>
    <w:p w:rsidR="0051774E" w:rsidRPr="0051774E" w:rsidRDefault="00327676" w:rsidP="00326B66">
      <w:pPr>
        <w:spacing w:line="276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Instruction</w:t>
      </w:r>
      <w:r w:rsidRPr="00327676">
        <w:rPr>
          <w:rFonts w:ascii="Times New Roman" w:hAnsi="Times New Roman" w:cs="Times New Roman" w:hint="eastAsia"/>
          <w:b/>
          <w:sz w:val="24"/>
          <w:szCs w:val="24"/>
        </w:rPr>
        <w:t xml:space="preserve">: If the recommendation meets the </w:t>
      </w:r>
      <w:r w:rsidRPr="00327676">
        <w:rPr>
          <w:rFonts w:ascii="Times New Roman" w:hAnsi="Times New Roman" w:cs="Times New Roman"/>
          <w:b/>
          <w:sz w:val="24"/>
          <w:szCs w:val="24"/>
        </w:rPr>
        <w:t xml:space="preserve">feasibility, appropriateness, meaningfulness </w:t>
      </w:r>
      <w:r>
        <w:rPr>
          <w:rFonts w:ascii="Times New Roman" w:hAnsi="Times New Roman" w:cs="Times New Roman"/>
          <w:b/>
          <w:sz w:val="24"/>
          <w:szCs w:val="24"/>
        </w:rPr>
        <w:t>or</w:t>
      </w:r>
      <w:r w:rsidRPr="00327676">
        <w:rPr>
          <w:rFonts w:ascii="Times New Roman" w:hAnsi="Times New Roman" w:cs="Times New Roman"/>
          <w:b/>
          <w:sz w:val="24"/>
          <w:szCs w:val="24"/>
        </w:rPr>
        <w:t xml:space="preserve"> effectiveness</w:t>
      </w:r>
      <w:r w:rsidRPr="00327676">
        <w:rPr>
          <w:rFonts w:ascii="Times New Roman" w:hAnsi="Times New Roman" w:cs="Times New Roman" w:hint="eastAsia"/>
          <w:b/>
          <w:sz w:val="24"/>
          <w:szCs w:val="24"/>
        </w:rPr>
        <w:t>, please "</w:t>
      </w:r>
      <w:r w:rsidRPr="00327676">
        <w:rPr>
          <w:rFonts w:ascii="Times New Roman" w:hAnsi="Times New Roman" w:cs="Times New Roman" w:hint="eastAsia"/>
          <w:b/>
          <w:sz w:val="24"/>
          <w:szCs w:val="24"/>
        </w:rPr>
        <w:t>√</w:t>
      </w:r>
      <w:r w:rsidRPr="00327676">
        <w:rPr>
          <w:rFonts w:ascii="Times New Roman" w:hAnsi="Times New Roman" w:cs="Times New Roman" w:hint="eastAsia"/>
          <w:b/>
          <w:sz w:val="24"/>
          <w:szCs w:val="24"/>
        </w:rPr>
        <w:t>" in the corresponding box; if not, please note the reason.</w:t>
      </w:r>
    </w:p>
    <w:tbl>
      <w:tblPr>
        <w:tblStyle w:val="a7"/>
        <w:tblpPr w:leftFromText="180" w:rightFromText="180" w:vertAnchor="page" w:horzAnchor="margin" w:tblpXSpec="center" w:tblpY="2806"/>
        <w:tblW w:w="15025" w:type="dxa"/>
        <w:tblLook w:val="04A0" w:firstRow="1" w:lastRow="0" w:firstColumn="1" w:lastColumn="0" w:noHBand="0" w:noVBand="1"/>
      </w:tblPr>
      <w:tblGrid>
        <w:gridCol w:w="708"/>
        <w:gridCol w:w="6881"/>
        <w:gridCol w:w="1835"/>
        <w:gridCol w:w="1919"/>
        <w:gridCol w:w="1843"/>
        <w:gridCol w:w="1839"/>
      </w:tblGrid>
      <w:tr w:rsidR="00327676" w:rsidRPr="00326B66" w:rsidTr="00326B66">
        <w:trPr>
          <w:trHeight w:val="851"/>
        </w:trPr>
        <w:tc>
          <w:tcPr>
            <w:tcW w:w="708" w:type="dxa"/>
            <w:shd w:val="clear" w:color="auto" w:fill="auto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Recommendations</w:t>
            </w:r>
          </w:p>
        </w:tc>
        <w:tc>
          <w:tcPr>
            <w:tcW w:w="1835" w:type="dxa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Feasibility</w:t>
            </w:r>
          </w:p>
        </w:tc>
        <w:tc>
          <w:tcPr>
            <w:tcW w:w="1919" w:type="dxa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sz w:val="24"/>
                <w:szCs w:val="24"/>
              </w:rPr>
              <w:t>Appropriateness</w:t>
            </w:r>
          </w:p>
        </w:tc>
        <w:tc>
          <w:tcPr>
            <w:tcW w:w="1843" w:type="dxa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Meaningfulness</w:t>
            </w:r>
          </w:p>
        </w:tc>
        <w:tc>
          <w:tcPr>
            <w:tcW w:w="1839" w:type="dxa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Effectiveness</w:t>
            </w: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7676" w:rsidRPr="00326B66" w:rsidRDefault="0032767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All patients should be assessed prior to clinical visits using the Distress Thermometer, and immediate screenings should be provided during the vulnerable period.</w:t>
            </w:r>
          </w:p>
        </w:tc>
        <w:tc>
          <w:tcPr>
            <w:tcW w:w="1835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7676" w:rsidRPr="00326B66" w:rsidRDefault="0032767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If the patient's distress is mild (thermometer score &lt; 4), the primary oncology team should assess the possible distress related symptoms of the patient.</w:t>
            </w:r>
          </w:p>
        </w:tc>
        <w:tc>
          <w:tcPr>
            <w:tcW w:w="1835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7676" w:rsidRPr="00326B66" w:rsidRDefault="0032767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According to the assessment results of possible distress related symptoms, the primary oncology team manages the symptoms associated with the patient's distress.</w:t>
            </w:r>
          </w:p>
        </w:tc>
        <w:tc>
          <w:tcPr>
            <w:tcW w:w="1835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7676" w:rsidRPr="00326B66" w:rsidRDefault="0032767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After the primary oncology team manages the symptoms associated with the patient's distress, the Distress Thermometer is used again for follow-up screening.</w:t>
            </w:r>
          </w:p>
        </w:tc>
        <w:tc>
          <w:tcPr>
            <w:tcW w:w="1835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7676" w:rsidRPr="00326B66" w:rsidRDefault="0032767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If the patient's distress is moderate or severe (thermometer score ≥ 4), further clinical evaluations should be provided by oncology team, including clinical interviews, anxiety/depression assessment, etc.</w:t>
            </w:r>
          </w:p>
        </w:tc>
        <w:tc>
          <w:tcPr>
            <w:tcW w:w="1835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7676" w:rsidRPr="00326B66" w:rsidRDefault="0032767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7676" w:rsidRPr="00326B66" w:rsidRDefault="00326B66" w:rsidP="00326B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According to the results of further clinical evaluations, it is recommended to refer patients to mental health professionals, social workers, chaplains, medical staff for further diagnosis and treatment.</w:t>
            </w:r>
          </w:p>
        </w:tc>
        <w:tc>
          <w:tcPr>
            <w:tcW w:w="1835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7676" w:rsidRPr="00326B66" w:rsidRDefault="0032767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6B66" w:rsidRPr="00326B66" w:rsidRDefault="00326B6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6B66" w:rsidRPr="00326B66" w:rsidRDefault="00326B6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Mental health professionals provide psychoeducation for patients in need.</w:t>
            </w:r>
          </w:p>
        </w:tc>
        <w:tc>
          <w:tcPr>
            <w:tcW w:w="1835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6B66" w:rsidRPr="00326B66" w:rsidRDefault="00326B6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6B66" w:rsidRPr="00326B66" w:rsidRDefault="00326B6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Mental health professionals provide cognitive behavioral therapy for patients in need.</w:t>
            </w:r>
          </w:p>
        </w:tc>
        <w:tc>
          <w:tcPr>
            <w:tcW w:w="1835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6B66" w:rsidRPr="00326B66" w:rsidRDefault="00326B6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6B66" w:rsidRPr="00326B66" w:rsidRDefault="00326B6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Mental health professionals provide supportive psychotherapy for patients in need.</w:t>
            </w:r>
          </w:p>
        </w:tc>
        <w:tc>
          <w:tcPr>
            <w:tcW w:w="1835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6B66" w:rsidRPr="00326B66" w:rsidRDefault="00326B6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6B66" w:rsidRPr="00326B66" w:rsidRDefault="00326B6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Mental health professionals provide family and couples therapy for patients in need.</w:t>
            </w:r>
          </w:p>
        </w:tc>
        <w:tc>
          <w:tcPr>
            <w:tcW w:w="1835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6B66" w:rsidRPr="00326B66" w:rsidRDefault="00326B6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6B66" w:rsidRPr="00326B66" w:rsidRDefault="00326B6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Social workers provide support and counseling to patients in need.</w:t>
            </w:r>
          </w:p>
        </w:tc>
        <w:tc>
          <w:tcPr>
            <w:tcW w:w="1835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6B66" w:rsidRPr="00326B66" w:rsidRDefault="00326B6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6B66" w:rsidRPr="00326B66" w:rsidRDefault="00326B6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Chaplains provide spiritual and chaplaincy care for patients in need.</w:t>
            </w:r>
          </w:p>
        </w:tc>
        <w:tc>
          <w:tcPr>
            <w:tcW w:w="1835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6B66" w:rsidRPr="00326B66" w:rsidRDefault="00326B6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6B66" w:rsidRPr="00326B66" w:rsidRDefault="00326B6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Medical staff provide palliative care for patients in need.</w:t>
            </w:r>
          </w:p>
        </w:tc>
        <w:tc>
          <w:tcPr>
            <w:tcW w:w="1835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26B66" w:rsidRPr="00326B66" w:rsidTr="00326B66">
        <w:trPr>
          <w:trHeight w:hRule="exact" w:val="1021"/>
        </w:trPr>
        <w:tc>
          <w:tcPr>
            <w:tcW w:w="708" w:type="dxa"/>
            <w:shd w:val="clear" w:color="auto" w:fill="auto"/>
            <w:vAlign w:val="center"/>
          </w:tcPr>
          <w:p w:rsidR="00326B66" w:rsidRPr="00326B66" w:rsidRDefault="00326B66" w:rsidP="00326B6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6B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881" w:type="dxa"/>
            <w:shd w:val="clear" w:color="auto" w:fill="auto"/>
            <w:vAlign w:val="center"/>
          </w:tcPr>
          <w:p w:rsidR="00326B66" w:rsidRPr="00326B66" w:rsidRDefault="00326B66" w:rsidP="00326B6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 w:rsidRPr="00326B66">
              <w:rPr>
                <w:rFonts w:ascii="Times New Roman" w:hAnsi="Times New Roman" w:cs="Times New Roman"/>
                <w:sz w:val="24"/>
              </w:rPr>
              <w:t>Patients who were referred or not referred to mental health professionals, social workers, chaplains, medical staff were further screened using the Distress Thermometer.</w:t>
            </w:r>
          </w:p>
        </w:tc>
        <w:tc>
          <w:tcPr>
            <w:tcW w:w="1835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9" w:type="dxa"/>
            <w:vAlign w:val="center"/>
          </w:tcPr>
          <w:p w:rsidR="00326B66" w:rsidRPr="00326B66" w:rsidRDefault="00326B66" w:rsidP="00326B6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51774E" w:rsidRPr="00327676" w:rsidRDefault="0051774E" w:rsidP="002A5D5A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51774E" w:rsidRDefault="0051774E" w:rsidP="002A5D5A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51774E" w:rsidRDefault="0051774E" w:rsidP="002A5D5A">
      <w:pPr>
        <w:jc w:val="left"/>
        <w:rPr>
          <w:rFonts w:ascii="Times New Roman" w:hAnsi="Times New Roman" w:cs="Times New Roman"/>
          <w:b/>
          <w:sz w:val="24"/>
          <w:szCs w:val="24"/>
        </w:rPr>
        <w:sectPr w:rsidR="0051774E" w:rsidSect="00326B66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A5D5A" w:rsidRPr="002A5D5A" w:rsidRDefault="00C37576" w:rsidP="002A5D5A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file</w:t>
      </w:r>
      <w:bookmarkStart w:id="0" w:name="_GoBack"/>
      <w:bookmarkEnd w:id="0"/>
      <w:r w:rsidR="002A5D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774E">
        <w:rPr>
          <w:rFonts w:ascii="Times New Roman" w:hAnsi="Times New Roman" w:cs="Times New Roman"/>
          <w:b/>
          <w:sz w:val="24"/>
          <w:szCs w:val="24"/>
        </w:rPr>
        <w:t>2</w:t>
      </w:r>
      <w:r w:rsidR="002A5D5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A5D5A" w:rsidRPr="002A5D5A">
        <w:rPr>
          <w:rFonts w:ascii="Times New Roman" w:hAnsi="Times New Roman" w:cs="Times New Roman"/>
          <w:b/>
          <w:sz w:val="24"/>
          <w:szCs w:val="24"/>
        </w:rPr>
        <w:t xml:space="preserve">The results of </w:t>
      </w:r>
      <w:r w:rsidR="009C7D9D">
        <w:rPr>
          <w:rFonts w:ascii="Times New Roman" w:hAnsi="Times New Roman" w:cs="Times New Roman"/>
          <w:b/>
          <w:sz w:val="24"/>
          <w:szCs w:val="24"/>
        </w:rPr>
        <w:t xml:space="preserve">guidelines’ </w:t>
      </w:r>
      <w:r w:rsidR="002A5D5A" w:rsidRPr="002A5D5A">
        <w:rPr>
          <w:rFonts w:ascii="Times New Roman" w:hAnsi="Times New Roman" w:cs="Times New Roman"/>
          <w:b/>
          <w:sz w:val="24"/>
          <w:szCs w:val="24"/>
        </w:rPr>
        <w:t>searching</w:t>
      </w:r>
    </w:p>
    <w:p w:rsidR="002A5D5A" w:rsidRDefault="002A5D5A"/>
    <w:tbl>
      <w:tblPr>
        <w:tblStyle w:val="a7"/>
        <w:tblW w:w="9842" w:type="dxa"/>
        <w:jc w:val="center"/>
        <w:tblLook w:val="04A0" w:firstRow="1" w:lastRow="0" w:firstColumn="1" w:lastColumn="0" w:noHBand="0" w:noVBand="1"/>
      </w:tblPr>
      <w:tblGrid>
        <w:gridCol w:w="931"/>
        <w:gridCol w:w="8072"/>
        <w:gridCol w:w="839"/>
      </w:tblGrid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b/>
                <w:sz w:val="20"/>
                <w:szCs w:val="20"/>
              </w:rPr>
              <w:t>Guidelines Websites</w:t>
            </w:r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Guidelines International Network (G-I-N) </w:t>
            </w:r>
            <w:hyperlink r:id="rId6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http://www.g-i-n.net/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National Guideline Clearinghouse (NGC) </w:t>
            </w:r>
            <w:hyperlink r:id="rId7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https://www.guideline.gov/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The National Institute for Health and Care Excellence (NICE) </w:t>
            </w:r>
            <w:hyperlink r:id="rId8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https://www.nice.org.uk/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Scottish Intercollegiate Guidelines Network (SIGN) </w:t>
            </w:r>
            <w:hyperlink r:id="rId9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http://www.sign.ac.uk/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Registered Nurses’ Association of Ontario (RNAO) </w:t>
            </w:r>
            <w:hyperlink r:id="rId10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http://communities.rnao.ca/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Joanna Briggs Institute (JBI) </w:t>
            </w:r>
            <w:hyperlink r:id="rId11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http://joannabriggs.org/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National Health and Medical Research Council (NHMRC) </w:t>
            </w:r>
            <w:hyperlink r:id="rId12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https://www.nhmrc.gov.au/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The Fudan Centre for Evidence-based Nursing  </w:t>
            </w:r>
            <w:hyperlink r:id="rId13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http://nursing.ebn.fudan.edu.cn/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b/>
                <w:sz w:val="20"/>
                <w:szCs w:val="20"/>
              </w:rPr>
              <w:t>Professional Agency Websites</w:t>
            </w:r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The International Society of Nurses in Cancer Care (</w:t>
            </w:r>
            <w:bookmarkStart w:id="1" w:name="OLE_LINK47"/>
            <w:bookmarkStart w:id="2" w:name="OLE_LINK48"/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ISNCC</w:t>
            </w:r>
            <w:bookmarkEnd w:id="1"/>
            <w:bookmarkEnd w:id="2"/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hyperlink r:id="rId14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http://www.isncc.org/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International Council of Nurses (ICN) </w:t>
            </w:r>
            <w:hyperlink r:id="rId15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http://www.icn.ch/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World Health Organization (WHO) </w:t>
            </w:r>
            <w:hyperlink r:id="rId16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http://www.who.int/en/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European Society for Medical Oncology (ESMO) </w:t>
            </w:r>
            <w:hyperlink r:id="rId17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http://www.esmo.org/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National Comprehensive Cancer Network (NCCN) </w:t>
            </w:r>
            <w:hyperlink r:id="rId18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https://www.nccn.org/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American Society of Clinical Oncology (ASCO) </w:t>
            </w:r>
            <w:hyperlink r:id="rId19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https://www.asco.org/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American Nurses' Association (ANA) </w:t>
            </w:r>
            <w:hyperlink r:id="rId20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https://www.nursingworld.org/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Visiting Nurse Associations of New England (VNANE) </w:t>
            </w:r>
            <w:hyperlink r:id="rId21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http://www.vnane.org/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Canadian Association of Psycho-social Oncology (CAPO) </w:t>
            </w:r>
            <w:hyperlink r:id="rId22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https://oncology.capo.ca/public/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Canadian Partnership Against Cancer (CPAC) </w:t>
            </w:r>
            <w:hyperlink r:id="rId23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https://www.partnershipagainstcancer.ca/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Cancer Care Nova Scotia (CCNS) </w:t>
            </w:r>
            <w:hyperlink r:id="rId24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http://www.nshealth.ca/cancer-care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Cancer Council Australia (CCA) </w:t>
            </w:r>
            <w:hyperlink r:id="rId25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https://www.cancer.org.au/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Chinese Anti-Cancer Association  </w:t>
            </w:r>
            <w:hyperlink r:id="rId26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http://www.caca.org.cn/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2A5D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Chinese Anti-Cancer Association Oncologic Nursing Committee  </w:t>
            </w:r>
            <w:hyperlink r:id="rId27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http://www.caca.org.cn/nurse/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Chinese Nursing Association(CAN) </w:t>
            </w:r>
            <w:hyperlink r:id="rId28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http://www.cna-cast.org.cn/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b/>
                <w:sz w:val="20"/>
                <w:szCs w:val="20"/>
              </w:rPr>
              <w:t>Medical Database</w:t>
            </w:r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Cochrane Library</w:t>
            </w:r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PubMed</w:t>
            </w:r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MEDLINE (OVID)</w:t>
            </w:r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254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Embase (OVID)</w:t>
            </w:r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792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CINAHL (EBSCO)</w:t>
            </w:r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PsycARTICLES (EBSCO)</w:t>
            </w:r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ProQuest</w:t>
            </w:r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CBM </w:t>
            </w:r>
            <w:hyperlink r:id="rId29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http://www.sinomed.ac.cn/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CNKI </w:t>
            </w:r>
            <w:hyperlink r:id="rId30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https://www.cnki.net/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Wanfang Data </w:t>
            </w:r>
            <w:hyperlink r:id="rId31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http://www.wanfangdata.com.cn/index.html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2A5D5A" w:rsidRPr="00C54ED9" w:rsidTr="00511DB2">
        <w:trPr>
          <w:trHeight w:hRule="exact" w:val="561"/>
          <w:jc w:val="center"/>
        </w:trPr>
        <w:tc>
          <w:tcPr>
            <w:tcW w:w="931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484" w:type="dxa"/>
            <w:vAlign w:val="center"/>
          </w:tcPr>
          <w:p w:rsidR="002A5D5A" w:rsidRPr="00C54ED9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ED9">
              <w:rPr>
                <w:rFonts w:ascii="Times New Roman" w:hAnsi="Times New Roman" w:cs="Times New Roman"/>
                <w:sz w:val="20"/>
                <w:szCs w:val="20"/>
              </w:rPr>
              <w:t xml:space="preserve">VIP </w:t>
            </w:r>
            <w:hyperlink r:id="rId32" w:history="1">
              <w:r w:rsidRPr="00C54ED9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http://www.cqvip.com/</w:t>
              </w:r>
            </w:hyperlink>
          </w:p>
        </w:tc>
        <w:tc>
          <w:tcPr>
            <w:tcW w:w="427" w:type="dxa"/>
            <w:vAlign w:val="center"/>
          </w:tcPr>
          <w:p w:rsidR="002A5D5A" w:rsidRPr="002A5D5A" w:rsidRDefault="002A5D5A" w:rsidP="00511D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D5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2A5D5A" w:rsidRDefault="002A5D5A"/>
    <w:p w:rsidR="002A5D5A" w:rsidRDefault="002A5D5A"/>
    <w:p w:rsidR="002A5D5A" w:rsidRPr="0051774E" w:rsidRDefault="002A5D5A"/>
    <w:p w:rsidR="002A5D5A" w:rsidRDefault="002A5D5A"/>
    <w:sectPr w:rsidR="002A5D5A" w:rsidSect="00627E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040F" w:rsidRDefault="005C040F" w:rsidP="00535156">
      <w:r>
        <w:separator/>
      </w:r>
    </w:p>
  </w:endnote>
  <w:endnote w:type="continuationSeparator" w:id="0">
    <w:p w:rsidR="005C040F" w:rsidRDefault="005C040F" w:rsidP="00535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040F" w:rsidRDefault="005C040F" w:rsidP="00535156">
      <w:r>
        <w:separator/>
      </w:r>
    </w:p>
  </w:footnote>
  <w:footnote w:type="continuationSeparator" w:id="0">
    <w:p w:rsidR="005C040F" w:rsidRDefault="005C040F" w:rsidP="005351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7281"/>
    <w:rsid w:val="00004C44"/>
    <w:rsid w:val="0005709F"/>
    <w:rsid w:val="00086422"/>
    <w:rsid w:val="0008777D"/>
    <w:rsid w:val="00093C74"/>
    <w:rsid w:val="00097652"/>
    <w:rsid w:val="00097C49"/>
    <w:rsid w:val="000B0889"/>
    <w:rsid w:val="000B214F"/>
    <w:rsid w:val="000B6961"/>
    <w:rsid w:val="000E619E"/>
    <w:rsid w:val="001037FC"/>
    <w:rsid w:val="00125433"/>
    <w:rsid w:val="0014643F"/>
    <w:rsid w:val="0015077C"/>
    <w:rsid w:val="00157EAB"/>
    <w:rsid w:val="00193207"/>
    <w:rsid w:val="001A1220"/>
    <w:rsid w:val="001C7997"/>
    <w:rsid w:val="001E3711"/>
    <w:rsid w:val="001F318F"/>
    <w:rsid w:val="001F565F"/>
    <w:rsid w:val="002267E6"/>
    <w:rsid w:val="00257C71"/>
    <w:rsid w:val="00281CA3"/>
    <w:rsid w:val="002820EF"/>
    <w:rsid w:val="002A5D5A"/>
    <w:rsid w:val="002A6D6A"/>
    <w:rsid w:val="002B692F"/>
    <w:rsid w:val="00316AB3"/>
    <w:rsid w:val="00324424"/>
    <w:rsid w:val="00326B66"/>
    <w:rsid w:val="00327676"/>
    <w:rsid w:val="0034294F"/>
    <w:rsid w:val="003C203F"/>
    <w:rsid w:val="003E31AC"/>
    <w:rsid w:val="003E4F93"/>
    <w:rsid w:val="00424DBC"/>
    <w:rsid w:val="00451121"/>
    <w:rsid w:val="004755F8"/>
    <w:rsid w:val="00495BDA"/>
    <w:rsid w:val="004E5299"/>
    <w:rsid w:val="004F3F0E"/>
    <w:rsid w:val="0051774E"/>
    <w:rsid w:val="005206F0"/>
    <w:rsid w:val="0053152F"/>
    <w:rsid w:val="00535156"/>
    <w:rsid w:val="005424DE"/>
    <w:rsid w:val="00572602"/>
    <w:rsid w:val="005A5982"/>
    <w:rsid w:val="005C040F"/>
    <w:rsid w:val="005F4C13"/>
    <w:rsid w:val="006030D8"/>
    <w:rsid w:val="006070DE"/>
    <w:rsid w:val="0061289C"/>
    <w:rsid w:val="00627E3A"/>
    <w:rsid w:val="00643079"/>
    <w:rsid w:val="006523F6"/>
    <w:rsid w:val="006B4E4B"/>
    <w:rsid w:val="006E5E3E"/>
    <w:rsid w:val="00743894"/>
    <w:rsid w:val="00743F14"/>
    <w:rsid w:val="00763328"/>
    <w:rsid w:val="0078284A"/>
    <w:rsid w:val="007C1FD8"/>
    <w:rsid w:val="007C6B7F"/>
    <w:rsid w:val="007D32C0"/>
    <w:rsid w:val="007D792C"/>
    <w:rsid w:val="007F2CA8"/>
    <w:rsid w:val="00806BF0"/>
    <w:rsid w:val="00821059"/>
    <w:rsid w:val="008743FD"/>
    <w:rsid w:val="008B28B4"/>
    <w:rsid w:val="00935514"/>
    <w:rsid w:val="00953DB6"/>
    <w:rsid w:val="00967DAC"/>
    <w:rsid w:val="00997D1B"/>
    <w:rsid w:val="009A3964"/>
    <w:rsid w:val="009C7D9D"/>
    <w:rsid w:val="009F5744"/>
    <w:rsid w:val="00A6000A"/>
    <w:rsid w:val="00AB7C75"/>
    <w:rsid w:val="00AE18ED"/>
    <w:rsid w:val="00AF56DA"/>
    <w:rsid w:val="00B15D6D"/>
    <w:rsid w:val="00B24399"/>
    <w:rsid w:val="00B24BFC"/>
    <w:rsid w:val="00B66361"/>
    <w:rsid w:val="00B7263E"/>
    <w:rsid w:val="00B973C9"/>
    <w:rsid w:val="00BA7E55"/>
    <w:rsid w:val="00C11CBD"/>
    <w:rsid w:val="00C37576"/>
    <w:rsid w:val="00C54ED9"/>
    <w:rsid w:val="00C84302"/>
    <w:rsid w:val="00CA091A"/>
    <w:rsid w:val="00CB62E5"/>
    <w:rsid w:val="00CC35DB"/>
    <w:rsid w:val="00CE17E1"/>
    <w:rsid w:val="00D1185C"/>
    <w:rsid w:val="00D84081"/>
    <w:rsid w:val="00D916AE"/>
    <w:rsid w:val="00DC5A0E"/>
    <w:rsid w:val="00E0428E"/>
    <w:rsid w:val="00E37BC9"/>
    <w:rsid w:val="00E47CAD"/>
    <w:rsid w:val="00E5436F"/>
    <w:rsid w:val="00E57B2F"/>
    <w:rsid w:val="00E86AC3"/>
    <w:rsid w:val="00E97281"/>
    <w:rsid w:val="00EA0327"/>
    <w:rsid w:val="00EA63DA"/>
    <w:rsid w:val="00EA7F4F"/>
    <w:rsid w:val="00EB3436"/>
    <w:rsid w:val="00F128F3"/>
    <w:rsid w:val="00F36347"/>
    <w:rsid w:val="00F66500"/>
    <w:rsid w:val="00F665B5"/>
    <w:rsid w:val="00F806F2"/>
    <w:rsid w:val="00F9171B"/>
    <w:rsid w:val="00FB6ABB"/>
    <w:rsid w:val="00FC7ACF"/>
    <w:rsid w:val="00FD4B55"/>
    <w:rsid w:val="00FD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BAE1941"/>
  <w15:docId w15:val="{38E22979-ED7B-4039-B171-F26DBBBFF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E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5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51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5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5156"/>
    <w:rPr>
      <w:sz w:val="18"/>
      <w:szCs w:val="18"/>
    </w:rPr>
  </w:style>
  <w:style w:type="table" w:styleId="a7">
    <w:name w:val="Table Grid"/>
    <w:basedOn w:val="a1"/>
    <w:uiPriority w:val="59"/>
    <w:rsid w:val="005351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97C49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D4B55"/>
    <w:rPr>
      <w:color w:val="800080" w:themeColor="followed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572602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72602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572602"/>
  </w:style>
  <w:style w:type="paragraph" w:styleId="ad">
    <w:name w:val="annotation subject"/>
    <w:basedOn w:val="ab"/>
    <w:next w:val="ab"/>
    <w:link w:val="ae"/>
    <w:uiPriority w:val="99"/>
    <w:semiHidden/>
    <w:unhideWhenUsed/>
    <w:rsid w:val="00572602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72602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572602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5726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nursing.ebn.fudan.edu.cn/" TargetMode="External"/><Relationship Id="rId18" Type="http://schemas.openxmlformats.org/officeDocument/2006/relationships/hyperlink" Target="https://www.nccn.org/" TargetMode="External"/><Relationship Id="rId26" Type="http://schemas.openxmlformats.org/officeDocument/2006/relationships/hyperlink" Target="http://www.caca.org.c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vnane.org/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www.guideline.gov/" TargetMode="External"/><Relationship Id="rId12" Type="http://schemas.openxmlformats.org/officeDocument/2006/relationships/hyperlink" Target="https://www.nhmrc.gov.au/" TargetMode="External"/><Relationship Id="rId17" Type="http://schemas.openxmlformats.org/officeDocument/2006/relationships/hyperlink" Target="http://www.esmo.org/" TargetMode="External"/><Relationship Id="rId25" Type="http://schemas.openxmlformats.org/officeDocument/2006/relationships/hyperlink" Target="https://www.cancer.org.au/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who.int/en/" TargetMode="External"/><Relationship Id="rId20" Type="http://schemas.openxmlformats.org/officeDocument/2006/relationships/hyperlink" Target="https://www.nursingworld.org/" TargetMode="External"/><Relationship Id="rId29" Type="http://schemas.openxmlformats.org/officeDocument/2006/relationships/hyperlink" Target="http://www.sinomed.ac.c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-i-n.net/" TargetMode="External"/><Relationship Id="rId11" Type="http://schemas.openxmlformats.org/officeDocument/2006/relationships/hyperlink" Target="http://joannabriggs.org/" TargetMode="External"/><Relationship Id="rId24" Type="http://schemas.openxmlformats.org/officeDocument/2006/relationships/hyperlink" Target="http://www.nshealth.ca/cancer-care" TargetMode="External"/><Relationship Id="rId32" Type="http://schemas.openxmlformats.org/officeDocument/2006/relationships/hyperlink" Target="http://www.cqvip.com/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icn.ch/" TargetMode="External"/><Relationship Id="rId23" Type="http://schemas.openxmlformats.org/officeDocument/2006/relationships/hyperlink" Target="https://www.partnershipagainstcancer.ca/" TargetMode="External"/><Relationship Id="rId28" Type="http://schemas.openxmlformats.org/officeDocument/2006/relationships/hyperlink" Target="http://www.cna-cast.org.cn/" TargetMode="External"/><Relationship Id="rId10" Type="http://schemas.openxmlformats.org/officeDocument/2006/relationships/hyperlink" Target="http://communities.rnao.ca/" TargetMode="External"/><Relationship Id="rId19" Type="http://schemas.openxmlformats.org/officeDocument/2006/relationships/hyperlink" Target="https://www.asco.org/" TargetMode="External"/><Relationship Id="rId31" Type="http://schemas.openxmlformats.org/officeDocument/2006/relationships/hyperlink" Target="http://www.wanfangdata.com.cn/index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sign.ac.uk/" TargetMode="External"/><Relationship Id="rId14" Type="http://schemas.openxmlformats.org/officeDocument/2006/relationships/hyperlink" Target="http://www.isncc.org/" TargetMode="External"/><Relationship Id="rId22" Type="http://schemas.openxmlformats.org/officeDocument/2006/relationships/hyperlink" Target="https://oncology.capo.ca/public/" TargetMode="External"/><Relationship Id="rId27" Type="http://schemas.openxmlformats.org/officeDocument/2006/relationships/hyperlink" Target="http://www.caca.org.cn/nurse/" TargetMode="External"/><Relationship Id="rId30" Type="http://schemas.openxmlformats.org/officeDocument/2006/relationships/hyperlink" Target="https://www.cnki.net/" TargetMode="External"/><Relationship Id="rId8" Type="http://schemas.openxmlformats.org/officeDocument/2006/relationships/hyperlink" Target="https://www.nice.org.uk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4</Pages>
  <Words>825</Words>
  <Characters>4707</Characters>
  <Application>Microsoft Office Word</Application>
  <DocSecurity>0</DocSecurity>
  <Lines>39</Lines>
  <Paragraphs>11</Paragraphs>
  <ScaleCrop>false</ScaleCrop>
  <Company>Microsoft</Company>
  <LinksUpToDate>false</LinksUpToDate>
  <CharactersWithSpaces>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Fu</dc:creator>
  <cp:keywords/>
  <dc:description/>
  <cp:lastModifiedBy>Liang</cp:lastModifiedBy>
  <cp:revision>101</cp:revision>
  <dcterms:created xsi:type="dcterms:W3CDTF">2018-03-20T02:33:00Z</dcterms:created>
  <dcterms:modified xsi:type="dcterms:W3CDTF">2020-08-03T01:06:00Z</dcterms:modified>
</cp:coreProperties>
</file>