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753182" w14:textId="38F93C4B" w:rsidR="00977FA5" w:rsidRPr="00977FA5" w:rsidRDefault="00977FA5" w:rsidP="00977FA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7FA5">
        <w:rPr>
          <w:rFonts w:ascii="Times New Roman" w:eastAsia="Times New Roman" w:hAnsi="Times New Roman" w:cs="Times New Roman"/>
          <w:b/>
          <w:sz w:val="28"/>
          <w:szCs w:val="28"/>
        </w:rPr>
        <w:t>Supplementary Information for</w:t>
      </w:r>
    </w:p>
    <w:p w14:paraId="59825A6E" w14:textId="294A1BD1" w:rsidR="00977FA5" w:rsidRDefault="00977FA5" w:rsidP="00977FA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630C2">
        <w:rPr>
          <w:rFonts w:ascii="Times New Roman" w:eastAsia="Times New Roman" w:hAnsi="Times New Roman" w:cs="Times New Roman"/>
          <w:b/>
          <w:sz w:val="28"/>
          <w:szCs w:val="28"/>
        </w:rPr>
        <w:t>Expanding the spectrum of canine Diffuse Large B-cell Lymphoma (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c</w:t>
      </w:r>
      <w:r w:rsidRPr="001630C2">
        <w:rPr>
          <w:rFonts w:ascii="Times New Roman" w:eastAsia="Times New Roman" w:hAnsi="Times New Roman" w:cs="Times New Roman"/>
          <w:b/>
          <w:sz w:val="28"/>
          <w:szCs w:val="28"/>
        </w:rPr>
        <w:t>DLBCL) genetic aberrations through whole genome sequencing (WGS)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analysis</w:t>
      </w:r>
    </w:p>
    <w:p w14:paraId="78D41223" w14:textId="77777777" w:rsidR="00977FA5" w:rsidRPr="00470D87" w:rsidRDefault="00977FA5" w:rsidP="00977FA5">
      <w:pPr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</w:pPr>
      <w:r w:rsidRPr="00470D87">
        <w:rPr>
          <w:rFonts w:ascii="Times New Roman" w:eastAsia="Times New Roman" w:hAnsi="Times New Roman" w:cs="Times New Roman"/>
          <w:sz w:val="24"/>
          <w:szCs w:val="24"/>
          <w:lang w:val="it-IT"/>
        </w:rPr>
        <w:t>Antonella Fanelli</w:t>
      </w:r>
      <w:r w:rsidRPr="00470D87"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1</w:t>
      </w:r>
      <w:r w:rsidRPr="00470D87">
        <w:rPr>
          <w:rFonts w:ascii="Times New Roman" w:eastAsia="Times New Roman" w:hAnsi="Times New Roman" w:cs="Times New Roman"/>
          <w:sz w:val="24"/>
          <w:szCs w:val="24"/>
          <w:lang w:val="it-IT"/>
        </w:rPr>
        <w:t>, Eugenio Mazzone</w:t>
      </w:r>
      <w:r w:rsidRPr="00470D87"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1</w:t>
      </w:r>
      <w:r w:rsidRPr="00470D87">
        <w:rPr>
          <w:rFonts w:ascii="Times New Roman" w:eastAsia="Times New Roman" w:hAnsi="Times New Roman" w:cs="Times New Roman"/>
          <w:sz w:val="24"/>
          <w:szCs w:val="24"/>
          <w:lang w:val="it-IT"/>
        </w:rPr>
        <w:t>, Diana Giannuzzi</w:t>
      </w:r>
      <w:r w:rsidRPr="00470D87"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2</w:t>
      </w:r>
      <w:r w:rsidRPr="00470D87">
        <w:rPr>
          <w:rFonts w:ascii="Times New Roman" w:eastAsia="Times New Roman" w:hAnsi="Times New Roman" w:cs="Times New Roman"/>
          <w:sz w:val="24"/>
          <w:szCs w:val="24"/>
          <w:lang w:val="it-IT"/>
        </w:rPr>
        <w:t>, Laura Marconato</w:t>
      </w:r>
      <w:r w:rsidRPr="00470D87"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3</w:t>
      </w:r>
      <w:r w:rsidRPr="00470D87">
        <w:rPr>
          <w:rFonts w:ascii="Times New Roman" w:eastAsia="Times New Roman" w:hAnsi="Times New Roman" w:cs="Times New Roman"/>
          <w:sz w:val="24"/>
          <w:szCs w:val="24"/>
          <w:lang w:val="it-IT"/>
        </w:rPr>
        <w:t>, Luca Aresu</w:t>
      </w:r>
      <w:r w:rsidRPr="00470D87">
        <w:rPr>
          <w:rFonts w:ascii="Times New Roman" w:eastAsia="Times New Roman" w:hAnsi="Times New Roman" w:cs="Times New Roman"/>
          <w:sz w:val="24"/>
          <w:szCs w:val="24"/>
          <w:vertAlign w:val="superscript"/>
          <w:lang w:val="it-IT"/>
        </w:rPr>
        <w:t>1*</w:t>
      </w:r>
    </w:p>
    <w:p w14:paraId="7AC8C34B" w14:textId="77777777" w:rsidR="00977FA5" w:rsidRPr="007F4421" w:rsidRDefault="00977FA5" w:rsidP="00977FA5">
      <w:pPr>
        <w:jc w:val="both"/>
        <w:rPr>
          <w:rFonts w:ascii="Times New Roman" w:eastAsia="Times New Roman" w:hAnsi="Times New Roman" w:cs="Times New Roman"/>
          <w:sz w:val="23"/>
          <w:szCs w:val="23"/>
          <w:lang w:val="it-IT"/>
        </w:rPr>
      </w:pPr>
    </w:p>
    <w:p w14:paraId="02F91ABF" w14:textId="77777777" w:rsidR="00977FA5" w:rsidRPr="007F4421" w:rsidRDefault="00977FA5" w:rsidP="00977FA5">
      <w:pPr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F4421">
        <w:rPr>
          <w:rFonts w:ascii="Times New Roman" w:eastAsia="Times New Roman" w:hAnsi="Times New Roman" w:cs="Times New Roman"/>
          <w:sz w:val="23"/>
          <w:szCs w:val="23"/>
          <w:vertAlign w:val="superscript"/>
        </w:rPr>
        <w:t xml:space="preserve">1 </w:t>
      </w:r>
      <w:r w:rsidRPr="007F4421">
        <w:rPr>
          <w:rFonts w:ascii="Times New Roman" w:eastAsia="Times New Roman" w:hAnsi="Times New Roman" w:cs="Times New Roman"/>
          <w:sz w:val="23"/>
          <w:szCs w:val="23"/>
        </w:rPr>
        <w:t>Department of Veterinary Sciences, University of Turin, Grugliasco, Turin, Italy.</w:t>
      </w:r>
    </w:p>
    <w:p w14:paraId="2983C6AA" w14:textId="77777777" w:rsidR="00977FA5" w:rsidRPr="007F4421" w:rsidRDefault="00977FA5" w:rsidP="00977FA5">
      <w:pPr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F4421">
        <w:rPr>
          <w:rFonts w:ascii="Times New Roman" w:eastAsia="Times New Roman" w:hAnsi="Times New Roman" w:cs="Times New Roman"/>
          <w:sz w:val="23"/>
          <w:szCs w:val="23"/>
          <w:vertAlign w:val="superscript"/>
        </w:rPr>
        <w:t>2</w:t>
      </w:r>
      <w:r w:rsidRPr="007F4421">
        <w:rPr>
          <w:sz w:val="23"/>
          <w:szCs w:val="23"/>
        </w:rPr>
        <w:t xml:space="preserve"> </w:t>
      </w:r>
      <w:r w:rsidRPr="007F4421">
        <w:rPr>
          <w:rFonts w:ascii="Times New Roman" w:eastAsia="Times New Roman" w:hAnsi="Times New Roman" w:cs="Times New Roman"/>
          <w:sz w:val="23"/>
          <w:szCs w:val="23"/>
        </w:rPr>
        <w:t>Department of Agronomy, Food, Natural Resources, Animals and Environment (DAFNAE), University of Padua, Legnaro, Padua, Italy.</w:t>
      </w:r>
    </w:p>
    <w:p w14:paraId="3F6920DB" w14:textId="77777777" w:rsidR="00977FA5" w:rsidRPr="007F4421" w:rsidRDefault="00977FA5" w:rsidP="00977FA5">
      <w:pPr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F4421">
        <w:rPr>
          <w:rFonts w:ascii="Times New Roman" w:eastAsia="Times New Roman" w:hAnsi="Times New Roman" w:cs="Times New Roman"/>
          <w:sz w:val="23"/>
          <w:szCs w:val="23"/>
          <w:vertAlign w:val="superscript"/>
        </w:rPr>
        <w:t xml:space="preserve">3 </w:t>
      </w:r>
      <w:r w:rsidRPr="007F4421">
        <w:rPr>
          <w:rFonts w:ascii="Times New Roman" w:eastAsia="Times New Roman" w:hAnsi="Times New Roman" w:cs="Times New Roman"/>
          <w:sz w:val="23"/>
          <w:szCs w:val="23"/>
        </w:rPr>
        <w:t>Department of Veterinary Medical Sciences, University of Bologna, Ozzano dell'Emilia, Bologna, Italy.</w:t>
      </w:r>
    </w:p>
    <w:p w14:paraId="3F1E4BC6" w14:textId="77777777" w:rsidR="00977FA5" w:rsidRPr="007F4421" w:rsidRDefault="00977FA5" w:rsidP="00977FA5">
      <w:pPr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F4421">
        <w:rPr>
          <w:rFonts w:ascii="Times New Roman" w:eastAsia="Times New Roman" w:hAnsi="Times New Roman" w:cs="Times New Roman"/>
          <w:sz w:val="23"/>
          <w:szCs w:val="23"/>
          <w:vertAlign w:val="superscript"/>
        </w:rPr>
        <w:t>*</w:t>
      </w:r>
      <w:r w:rsidRPr="007F4421">
        <w:rPr>
          <w:rFonts w:ascii="Times New Roman" w:eastAsia="Times New Roman" w:hAnsi="Times New Roman" w:cs="Times New Roman"/>
          <w:sz w:val="23"/>
          <w:szCs w:val="23"/>
        </w:rPr>
        <w:t>correspondence: luca.aresu@unito.it</w:t>
      </w:r>
    </w:p>
    <w:p w14:paraId="084DB915" w14:textId="77777777" w:rsidR="00977FA5" w:rsidRPr="00C21C6F" w:rsidRDefault="00977FA5" w:rsidP="00977FA5">
      <w:pPr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  <w:r w:rsidRPr="00C21C6F">
        <w:rPr>
          <w:rFonts w:ascii="Times New Roman" w:eastAsia="Times New Roman" w:hAnsi="Times New Roman" w:cs="Times New Roman"/>
          <w:sz w:val="20"/>
          <w:szCs w:val="20"/>
          <w:vertAlign w:val="superscript"/>
        </w:rPr>
        <w:br w:type="page"/>
      </w:r>
    </w:p>
    <w:p w14:paraId="17808C19" w14:textId="252C3336" w:rsidR="00977FA5" w:rsidRDefault="002D4100">
      <w:pPr>
        <w:rPr>
          <w:noProof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2BB567D3" wp14:editId="787EF333">
            <wp:extent cx="6138407" cy="3112858"/>
            <wp:effectExtent l="0" t="0" r="0" b="0"/>
            <wp:docPr id="92722386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223862" name="Immagine 927223862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6" t="10668" r="9556" b="14407"/>
                    <a:stretch/>
                  </pic:blipFill>
                  <pic:spPr bwMode="auto">
                    <a:xfrm>
                      <a:off x="0" y="0"/>
                      <a:ext cx="6169974" cy="31288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5075B8" w14:textId="36EA3C57" w:rsidR="00B02170" w:rsidRDefault="00B02170" w:rsidP="00B0217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Fig.1. </w:t>
      </w:r>
      <w:r w:rsidR="004C6D17">
        <w:rPr>
          <w:rFonts w:ascii="Times New Roman" w:hAnsi="Times New Roman" w:cs="Times New Roman"/>
          <w:b/>
          <w:bCs/>
          <w:sz w:val="20"/>
          <w:szCs w:val="20"/>
        </w:rPr>
        <w:t>Median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4C6D17">
        <w:rPr>
          <w:rFonts w:ascii="Times New Roman" w:hAnsi="Times New Roman" w:cs="Times New Roman"/>
          <w:b/>
          <w:bCs/>
          <w:sz w:val="20"/>
          <w:szCs w:val="20"/>
        </w:rPr>
        <w:t xml:space="preserve">time to progression (TTP) and lymphoma-specific survival (LSS) of the whole cohort. </w:t>
      </w:r>
      <w:r w:rsidR="004C6D17">
        <w:rPr>
          <w:rFonts w:ascii="Times New Roman" w:hAnsi="Times New Roman" w:cs="Times New Roman"/>
          <w:sz w:val="20"/>
          <w:szCs w:val="20"/>
        </w:rPr>
        <w:t>The Kaplan-Meier (KM) curves present median TTP (left) and LSS (right) of the whole cohort of 10 dogs with cDLBCL</w:t>
      </w:r>
      <w:r w:rsidR="007F4421">
        <w:rPr>
          <w:rFonts w:ascii="Times New Roman" w:hAnsi="Times New Roman" w:cs="Times New Roman"/>
          <w:sz w:val="20"/>
          <w:szCs w:val="20"/>
        </w:rPr>
        <w:t>.</w:t>
      </w:r>
    </w:p>
    <w:p w14:paraId="74E574F1" w14:textId="21C44760" w:rsidR="00A177DE" w:rsidRDefault="00A177DE">
      <w:pPr>
        <w:spacing w:line="278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1F2F13D" w14:textId="70E9A72F" w:rsidR="00A177DE" w:rsidRDefault="008573D5" w:rsidP="00B02170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A4A9035" wp14:editId="436B4550">
            <wp:extent cx="6106795" cy="3053080"/>
            <wp:effectExtent l="0" t="0" r="8255" b="0"/>
            <wp:docPr id="527912416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795" cy="305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1E352" w14:textId="6B603CE3" w:rsidR="008573D5" w:rsidRDefault="008573D5" w:rsidP="008573D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Fig.2. Oncoplot of non-coding (nc) transcripts mutated in 10 cDLBCL. </w:t>
      </w:r>
      <w:r>
        <w:rPr>
          <w:rFonts w:ascii="Times New Roman" w:hAnsi="Times New Roman" w:cs="Times New Roman"/>
          <w:sz w:val="20"/>
          <w:szCs w:val="20"/>
        </w:rPr>
        <w:t xml:space="preserve">Genes specific for ncRNAs (excluding LOCs) are reported in descending order of mutation frequency. The top 10 </w:t>
      </w:r>
      <w:r w:rsidR="0046473C">
        <w:rPr>
          <w:rFonts w:ascii="Times New Roman" w:hAnsi="Times New Roman" w:cs="Times New Roman"/>
          <w:sz w:val="20"/>
          <w:szCs w:val="20"/>
        </w:rPr>
        <w:t xml:space="preserve">genes </w:t>
      </w:r>
      <w:r>
        <w:rPr>
          <w:rFonts w:ascii="Times New Roman" w:hAnsi="Times New Roman" w:cs="Times New Roman"/>
          <w:sz w:val="20"/>
          <w:szCs w:val="20"/>
        </w:rPr>
        <w:t xml:space="preserve">were retrieved in both groups, </w:t>
      </w:r>
      <w:r w:rsidR="00BD6F3A">
        <w:rPr>
          <w:rFonts w:ascii="Times New Roman" w:hAnsi="Times New Roman" w:cs="Times New Roman"/>
          <w:sz w:val="20"/>
          <w:szCs w:val="20"/>
        </w:rPr>
        <w:t xml:space="preserve">while </w:t>
      </w:r>
      <w:r>
        <w:rPr>
          <w:rFonts w:ascii="Times New Roman" w:hAnsi="Times New Roman" w:cs="Times New Roman"/>
          <w:sz w:val="20"/>
          <w:szCs w:val="20"/>
        </w:rPr>
        <w:t>the remaining were reported in a single case from poor or good responders (indicated with the blue and the pink bar at the bottom, respectively) each. The distribution of single nucleotide substitutions is also depicted.</w:t>
      </w:r>
    </w:p>
    <w:p w14:paraId="051A30CF" w14:textId="58CF2DFE" w:rsidR="00177BD5" w:rsidRDefault="00177BD5">
      <w:pPr>
        <w:spacing w:line="278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9205A23" w14:textId="2CA9AF6B" w:rsidR="00B17A30" w:rsidRDefault="00B17A30" w:rsidP="008573D5">
      <w:pPr>
        <w:rPr>
          <w:rFonts w:ascii="Times New Roman" w:hAnsi="Times New Roman" w:cs="Times New Roman"/>
          <w:b/>
          <w:bCs/>
          <w:noProof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0712064F" wp14:editId="625C04AA">
            <wp:extent cx="6106795" cy="3053080"/>
            <wp:effectExtent l="0" t="0" r="8255" b="0"/>
            <wp:docPr id="509848326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795" cy="305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45D57" w14:textId="5D2C575C" w:rsidR="00177BD5" w:rsidRDefault="00F549C2" w:rsidP="008573D5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Supplementary Fig.3. Oncoplot of amplified genes.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Amplified genes are reported in descending order of frequency of amplification. Poor and good responders are indicated as </w:t>
      </w:r>
      <w:r w:rsidR="00D76548">
        <w:rPr>
          <w:rFonts w:ascii="Times New Roman" w:hAnsi="Times New Roman" w:cs="Times New Roman"/>
          <w:noProof/>
          <w:sz w:val="20"/>
          <w:szCs w:val="20"/>
        </w:rPr>
        <w:t>purple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and green bars at the bottom, respectively. For sample #5 it was not possible to extract copy numbers because of insufficient sequencing depth.</w:t>
      </w:r>
    </w:p>
    <w:p w14:paraId="17E4F27F" w14:textId="4537AB15" w:rsidR="00F549C2" w:rsidRDefault="00F549C2">
      <w:pPr>
        <w:spacing w:line="278" w:lineRule="auto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br w:type="page"/>
      </w:r>
    </w:p>
    <w:p w14:paraId="239D3B73" w14:textId="0C62E7B1" w:rsidR="00B17A30" w:rsidRDefault="00B17A30" w:rsidP="00F549C2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479D1D7F" wp14:editId="495F26B0">
            <wp:extent cx="6106795" cy="3053080"/>
            <wp:effectExtent l="0" t="0" r="8255" b="0"/>
            <wp:docPr id="1946384719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795" cy="305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0CAFF" w14:textId="04BB61A2" w:rsidR="00F549C2" w:rsidRDefault="00F549C2" w:rsidP="00F549C2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Fig.4.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Oncoplot of deleted genes.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Deleted genes are reported in descending order of frequency of deletion. Poor and good responders are indicated as </w:t>
      </w:r>
      <w:r w:rsidR="00D76548">
        <w:rPr>
          <w:rFonts w:ascii="Times New Roman" w:hAnsi="Times New Roman" w:cs="Times New Roman"/>
          <w:noProof/>
          <w:sz w:val="20"/>
          <w:szCs w:val="20"/>
        </w:rPr>
        <w:t>purple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and green bars at the bottom, respectively. For sample #5 it was not possible to extract copy numbers because of insufficient sequencing depth. </w:t>
      </w:r>
    </w:p>
    <w:p w14:paraId="03AB2045" w14:textId="26B8813D" w:rsidR="00F549C2" w:rsidRPr="00F549C2" w:rsidRDefault="00F549C2" w:rsidP="008573D5">
      <w:pPr>
        <w:rPr>
          <w:rFonts w:ascii="Times New Roman" w:hAnsi="Times New Roman" w:cs="Times New Roman"/>
          <w:b/>
          <w:bCs/>
          <w:sz w:val="20"/>
          <w:szCs w:val="20"/>
        </w:rPr>
      </w:pPr>
    </w:p>
    <w:sectPr w:rsidR="00F549C2" w:rsidRPr="00F549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FA5"/>
    <w:rsid w:val="00177BD5"/>
    <w:rsid w:val="00254118"/>
    <w:rsid w:val="002D4100"/>
    <w:rsid w:val="00396B47"/>
    <w:rsid w:val="0046473C"/>
    <w:rsid w:val="004C6D17"/>
    <w:rsid w:val="007F4421"/>
    <w:rsid w:val="008573D5"/>
    <w:rsid w:val="00977FA5"/>
    <w:rsid w:val="00A177DE"/>
    <w:rsid w:val="00A260C3"/>
    <w:rsid w:val="00B02170"/>
    <w:rsid w:val="00B17A30"/>
    <w:rsid w:val="00BD6F3A"/>
    <w:rsid w:val="00D76548"/>
    <w:rsid w:val="00DF7DDA"/>
    <w:rsid w:val="00F5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613F6"/>
  <w15:chartTrackingRefBased/>
  <w15:docId w15:val="{8C4FF65C-ABB2-4665-9C43-D2CD5FC86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7FA5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77F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it-IT"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77F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it-IT"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77FA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it-IT"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77FA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it-IT"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77FA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it-IT"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77FA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it-IT"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77FA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it-IT"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77FA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it-IT"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77FA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it-IT"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77F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77F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77F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77FA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77FA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77FA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77FA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77FA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77FA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77F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977F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77FA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it-IT"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77F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77FA5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it-IT"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77FA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77FA5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it-IT"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977FA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77F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it-IT"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77FA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77F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1197</TotalTime>
  <Pages>5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Fanelli</dc:creator>
  <cp:keywords/>
  <dc:description/>
  <cp:lastModifiedBy>Antonella Fanelli</cp:lastModifiedBy>
  <cp:revision>12</cp:revision>
  <dcterms:created xsi:type="dcterms:W3CDTF">2024-10-22T12:39:00Z</dcterms:created>
  <dcterms:modified xsi:type="dcterms:W3CDTF">2024-10-28T10:23:00Z</dcterms:modified>
</cp:coreProperties>
</file>