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42E" w:rsidRPr="006747EF" w:rsidRDefault="0006042E" w:rsidP="0006042E">
      <w:pPr>
        <w:spacing w:line="36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6747EF">
        <w:rPr>
          <w:rFonts w:ascii="Arial" w:eastAsia="Arial" w:hAnsi="Arial" w:cs="Arial"/>
          <w:b/>
          <w:color w:val="000000"/>
          <w:sz w:val="28"/>
          <w:szCs w:val="28"/>
        </w:rPr>
        <w:t xml:space="preserve">SUPPLEMENTARY </w:t>
      </w:r>
      <w:r>
        <w:rPr>
          <w:rFonts w:ascii="Arial" w:eastAsia="Arial" w:hAnsi="Arial" w:cs="Arial"/>
          <w:b/>
          <w:color w:val="000000"/>
          <w:sz w:val="28"/>
          <w:szCs w:val="28"/>
        </w:rPr>
        <w:t>MATERIALS</w:t>
      </w:r>
      <w:r w:rsidRPr="006747EF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</w:p>
    <w:p w:rsidR="00BC163F" w:rsidRDefault="00E61129"/>
    <w:p w:rsidR="0006042E" w:rsidRDefault="0006042E"/>
    <w:p w:rsidR="0006042E" w:rsidRDefault="0006042E"/>
    <w:p w:rsidR="0006042E" w:rsidRDefault="0006042E"/>
    <w:p w:rsidR="0006042E" w:rsidRDefault="0006042E"/>
    <w:p w:rsidR="0006042E" w:rsidRDefault="0006042E"/>
    <w:p w:rsidR="0006042E" w:rsidRDefault="0006042E"/>
    <w:p w:rsidR="0006042E" w:rsidRPr="0006042E" w:rsidRDefault="0006042E" w:rsidP="0006042E">
      <w:pPr>
        <w:jc w:val="center"/>
        <w:rPr>
          <w:b/>
          <w:bCs/>
          <w:sz w:val="40"/>
          <w:szCs w:val="40"/>
        </w:rPr>
      </w:pPr>
      <w:r w:rsidRPr="0006042E">
        <w:rPr>
          <w:b/>
          <w:bCs/>
          <w:sz w:val="40"/>
          <w:szCs w:val="40"/>
        </w:rPr>
        <w:t>Mutational landscapes of brain metastases across various histological subtypes of lung cancer</w:t>
      </w:r>
    </w:p>
    <w:p w:rsidR="0006042E" w:rsidRPr="005802FB" w:rsidRDefault="0006042E" w:rsidP="0006042E">
      <w:pPr>
        <w:spacing w:line="360" w:lineRule="auto"/>
        <w:jc w:val="center"/>
        <w:rPr>
          <w:b/>
          <w:highlight w:val="yellow"/>
        </w:rPr>
      </w:pPr>
    </w:p>
    <w:p w:rsidR="0006042E" w:rsidRDefault="0006042E" w:rsidP="0006042E">
      <w:pPr>
        <w:tabs>
          <w:tab w:val="left" w:pos="900"/>
        </w:tabs>
        <w:spacing w:line="360" w:lineRule="auto"/>
        <w:ind w:right="-46"/>
        <w:jc w:val="center"/>
        <w:rPr>
          <w:b/>
          <w:lang w:val="pl-PL"/>
        </w:rPr>
      </w:pPr>
    </w:p>
    <w:p w:rsidR="0006042E" w:rsidRDefault="0006042E" w:rsidP="0006042E">
      <w:pPr>
        <w:tabs>
          <w:tab w:val="left" w:pos="900"/>
        </w:tabs>
        <w:spacing w:line="360" w:lineRule="auto"/>
        <w:ind w:right="-46"/>
        <w:jc w:val="center"/>
        <w:rPr>
          <w:b/>
          <w:lang w:val="pl-PL"/>
        </w:rPr>
      </w:pPr>
    </w:p>
    <w:p w:rsidR="0006042E" w:rsidRDefault="0006042E" w:rsidP="0006042E">
      <w:pPr>
        <w:tabs>
          <w:tab w:val="left" w:pos="900"/>
        </w:tabs>
        <w:spacing w:line="360" w:lineRule="auto"/>
        <w:ind w:right="-46"/>
        <w:jc w:val="center"/>
        <w:rPr>
          <w:b/>
          <w:lang w:val="pl-PL"/>
        </w:rPr>
      </w:pPr>
    </w:p>
    <w:p w:rsidR="0006042E" w:rsidRPr="005802FB" w:rsidRDefault="0006042E" w:rsidP="0006042E">
      <w:pPr>
        <w:tabs>
          <w:tab w:val="left" w:pos="900"/>
        </w:tabs>
        <w:spacing w:line="360" w:lineRule="auto"/>
        <w:ind w:right="-46"/>
        <w:jc w:val="center"/>
        <w:rPr>
          <w:b/>
          <w:lang w:val="pl-PL"/>
        </w:rPr>
      </w:pPr>
      <w:r w:rsidRPr="005802FB">
        <w:rPr>
          <w:b/>
          <w:lang w:val="pl-PL"/>
        </w:rPr>
        <w:t>Marcin Nicoś, Tomasz Stokowy, Katarzyna Reszka, Anna Kowalczyk, Natalia Galant,</w:t>
      </w:r>
      <w:r w:rsidRPr="005802FB">
        <w:rPr>
          <w:b/>
          <w:vertAlign w:val="superscript"/>
          <w:lang w:val="pl-PL"/>
        </w:rPr>
        <w:t xml:space="preserve"> </w:t>
      </w:r>
      <w:r w:rsidRPr="005802FB">
        <w:rPr>
          <w:b/>
          <w:lang w:val="pl-PL"/>
        </w:rPr>
        <w:t>Rafał Pęksa, Bożena Jarosz, Renata Duchnowska</w:t>
      </w:r>
      <w:r>
        <w:rPr>
          <w:b/>
          <w:lang w:val="pl-PL"/>
        </w:rPr>
        <w:t>, Janusz Milanowski</w:t>
      </w:r>
      <w:r w:rsidRPr="005802FB">
        <w:rPr>
          <w:b/>
          <w:lang w:val="pl-PL"/>
        </w:rPr>
        <w:t>, Paweł Krawczyk, Jacek Jassem</w:t>
      </w:r>
      <w:r>
        <w:rPr>
          <w:b/>
          <w:lang w:val="pl-PL"/>
        </w:rPr>
        <w:t xml:space="preserve"> &amp;</w:t>
      </w:r>
      <w:r w:rsidRPr="005802FB">
        <w:rPr>
          <w:b/>
          <w:lang w:val="pl-PL"/>
        </w:rPr>
        <w:t xml:space="preserve"> Nicola Crosetto</w:t>
      </w:r>
    </w:p>
    <w:p w:rsidR="0006042E" w:rsidRPr="0006042E" w:rsidRDefault="0006042E">
      <w:pPr>
        <w:rPr>
          <w:lang w:val="pl-PL"/>
        </w:rPr>
      </w:pPr>
    </w:p>
    <w:p w:rsidR="0006042E" w:rsidRPr="0006042E" w:rsidRDefault="0006042E">
      <w:pPr>
        <w:rPr>
          <w:lang w:val="pl-PL"/>
        </w:rPr>
      </w:pPr>
    </w:p>
    <w:p w:rsidR="0006042E" w:rsidRDefault="0006042E">
      <w:pPr>
        <w:rPr>
          <w:lang w:val="pl-PL"/>
        </w:rPr>
      </w:pPr>
    </w:p>
    <w:p w:rsidR="0006042E" w:rsidRDefault="0006042E">
      <w:pPr>
        <w:rPr>
          <w:lang w:val="pl-PL"/>
        </w:rPr>
      </w:pPr>
    </w:p>
    <w:p w:rsidR="0006042E" w:rsidRDefault="0006042E">
      <w:pPr>
        <w:rPr>
          <w:lang w:val="pl-PL"/>
        </w:rPr>
      </w:pPr>
    </w:p>
    <w:p w:rsidR="0006042E" w:rsidRDefault="0006042E">
      <w:pPr>
        <w:rPr>
          <w:lang w:val="pl-PL"/>
        </w:rPr>
      </w:pPr>
    </w:p>
    <w:p w:rsidR="0006042E" w:rsidRDefault="0006042E">
      <w:pPr>
        <w:rPr>
          <w:lang w:val="pl-PL"/>
        </w:rPr>
      </w:pPr>
    </w:p>
    <w:p w:rsidR="0006042E" w:rsidRPr="00E376A7" w:rsidRDefault="0006042E" w:rsidP="0006042E">
      <w:pPr>
        <w:tabs>
          <w:tab w:val="left" w:pos="8222"/>
        </w:tabs>
        <w:spacing w:line="360" w:lineRule="auto"/>
      </w:pPr>
      <w:r w:rsidRPr="00E376A7">
        <w:t>1. Supplementary Figures</w:t>
      </w:r>
      <w:r w:rsidRPr="00E376A7">
        <w:tab/>
        <w:t>pg. 2</w:t>
      </w:r>
    </w:p>
    <w:p w:rsidR="0006042E" w:rsidRPr="008D0C41" w:rsidRDefault="0006042E" w:rsidP="0006042E">
      <w:pPr>
        <w:tabs>
          <w:tab w:val="left" w:pos="8222"/>
        </w:tabs>
        <w:spacing w:line="360" w:lineRule="auto"/>
      </w:pPr>
      <w:r w:rsidRPr="00E376A7">
        <w:t>2. Supplementary Tables</w:t>
      </w:r>
      <w:r w:rsidRPr="00E376A7">
        <w:tab/>
        <w:t xml:space="preserve">pg. </w:t>
      </w:r>
      <w:r>
        <w:t>6</w:t>
      </w:r>
    </w:p>
    <w:p w:rsidR="0006042E" w:rsidRPr="006747EF" w:rsidRDefault="0006042E" w:rsidP="0006042E">
      <w:pPr>
        <w:spacing w:line="360" w:lineRule="auto"/>
        <w:rPr>
          <w:rFonts w:ascii="Arial" w:eastAsia="Arial" w:hAnsi="Arial" w:cs="Arial"/>
          <w:b/>
          <w:sz w:val="28"/>
          <w:szCs w:val="28"/>
        </w:rPr>
      </w:pPr>
      <w:r w:rsidRPr="006747EF">
        <w:br w:type="page"/>
      </w:r>
    </w:p>
    <w:p w:rsidR="0006042E" w:rsidRPr="0006042E" w:rsidRDefault="0006042E">
      <w:pPr>
        <w:rPr>
          <w:lang w:val="en-GB"/>
        </w:rPr>
      </w:pPr>
      <w:r w:rsidRPr="006747EF"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1. Supplementary Figures</w:t>
      </w:r>
    </w:p>
    <w:p w:rsidR="0006042E" w:rsidRPr="0006042E" w:rsidRDefault="0006042E">
      <w:pPr>
        <w:rPr>
          <w:lang w:val="en-GB"/>
        </w:rPr>
      </w:pPr>
    </w:p>
    <w:p w:rsidR="0006042E" w:rsidRPr="0006042E" w:rsidRDefault="0006042E">
      <w:pPr>
        <w:rPr>
          <w:lang w:val="en-GB"/>
        </w:rPr>
      </w:pPr>
    </w:p>
    <w:p w:rsidR="0006042E" w:rsidRPr="0006042E" w:rsidRDefault="0006042E">
      <w:pPr>
        <w:rPr>
          <w:lang w:val="en-GB"/>
        </w:rPr>
      </w:pPr>
      <w:r>
        <w:rPr>
          <w:lang w:val="en-GB"/>
        </w:rPr>
        <w:t>Supplementary Figure 1</w:t>
      </w:r>
    </w:p>
    <w:p w:rsidR="0006042E" w:rsidRPr="0006042E" w:rsidRDefault="0006042E">
      <w:pPr>
        <w:rPr>
          <w:lang w:val="en-GB"/>
        </w:rPr>
      </w:pPr>
    </w:p>
    <w:p w:rsidR="0006042E" w:rsidRPr="0006042E" w:rsidRDefault="0006042E">
      <w:pPr>
        <w:rPr>
          <w:lang w:val="en-GB"/>
        </w:rPr>
      </w:pPr>
      <w:r>
        <w:rPr>
          <w:noProof/>
          <w:lang w:val="pl-PL" w:eastAsia="pl-PL"/>
        </w:rPr>
        <w:drawing>
          <wp:inline distT="0" distB="0" distL="0" distR="0">
            <wp:extent cx="5760720" cy="3312160"/>
            <wp:effectExtent l="0" t="0" r="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ary Figure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1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42E" w:rsidRPr="0006042E" w:rsidRDefault="0006042E">
      <w:pPr>
        <w:rPr>
          <w:lang w:val="en-GB"/>
        </w:rPr>
      </w:pPr>
    </w:p>
    <w:p w:rsidR="0006042E" w:rsidRPr="0006042E" w:rsidRDefault="0006042E" w:rsidP="0006042E">
      <w:pPr>
        <w:spacing w:after="160" w:line="259" w:lineRule="auto"/>
        <w:rPr>
          <w:rFonts w:eastAsiaTheme="minorHAnsi"/>
          <w:sz w:val="22"/>
          <w:szCs w:val="22"/>
          <w:lang w:val="en-GB" w:eastAsia="en-US"/>
        </w:rPr>
      </w:pPr>
      <w:r w:rsidRPr="0006042E">
        <w:rPr>
          <w:rFonts w:eastAsiaTheme="minorHAnsi"/>
          <w:sz w:val="22"/>
          <w:szCs w:val="22"/>
          <w:lang w:val="en-GB" w:eastAsia="en-US"/>
        </w:rPr>
        <w:t>Supplementary Figure 1: The overview indicates that the median number of variants per sample was equal regardless of the studied cohort (A). Further</w:t>
      </w:r>
      <w:r>
        <w:rPr>
          <w:rFonts w:eastAsiaTheme="minorHAnsi"/>
          <w:sz w:val="22"/>
          <w:szCs w:val="22"/>
          <w:lang w:val="en-GB" w:eastAsia="en-US"/>
        </w:rPr>
        <w:t>,</w:t>
      </w:r>
      <w:r w:rsidRPr="0006042E">
        <w:rPr>
          <w:rFonts w:eastAsiaTheme="minorHAnsi"/>
          <w:sz w:val="22"/>
          <w:szCs w:val="22"/>
          <w:lang w:val="en-GB" w:eastAsia="en-US"/>
        </w:rPr>
        <w:t xml:space="preserve"> in each studied BM, the missense and nonsense variants were the most common following in-frame insertion or deletion (B). According to a class of single nucleotide variations (SNVs), we observed that C&gt;T, C&gt;G</w:t>
      </w:r>
      <w:r>
        <w:rPr>
          <w:rFonts w:eastAsiaTheme="minorHAnsi"/>
          <w:sz w:val="22"/>
          <w:szCs w:val="22"/>
          <w:lang w:val="en-GB" w:eastAsia="en-US"/>
        </w:rPr>
        <w:t>,</w:t>
      </w:r>
      <w:r w:rsidRPr="0006042E">
        <w:rPr>
          <w:rFonts w:eastAsiaTheme="minorHAnsi"/>
          <w:sz w:val="22"/>
          <w:szCs w:val="22"/>
          <w:lang w:val="en-GB" w:eastAsia="en-US"/>
        </w:rPr>
        <w:t xml:space="preserve"> and C&gt;A changes were the most common within the studied cohorts, while LCLC-BM did not </w:t>
      </w:r>
      <w:r>
        <w:rPr>
          <w:rFonts w:eastAsiaTheme="minorHAnsi"/>
          <w:sz w:val="22"/>
          <w:szCs w:val="22"/>
          <w:lang w:val="en-GB" w:eastAsia="en-US"/>
        </w:rPr>
        <w:t>harbour</w:t>
      </w:r>
      <w:r w:rsidRPr="0006042E">
        <w:rPr>
          <w:rFonts w:eastAsiaTheme="minorHAnsi"/>
          <w:sz w:val="22"/>
          <w:szCs w:val="22"/>
          <w:lang w:val="en-GB" w:eastAsia="en-US"/>
        </w:rPr>
        <w:t xml:space="preserve"> T&gt;G classes (C) </w:t>
      </w:r>
    </w:p>
    <w:p w:rsidR="0006042E" w:rsidRDefault="0006042E">
      <w:pPr>
        <w:spacing w:after="160" w:line="259" w:lineRule="auto"/>
        <w:jc w:val="left"/>
        <w:rPr>
          <w:lang w:val="en-GB"/>
        </w:rPr>
      </w:pPr>
      <w:r>
        <w:rPr>
          <w:lang w:val="en-GB"/>
        </w:rPr>
        <w:br w:type="page"/>
      </w:r>
    </w:p>
    <w:p w:rsidR="0006042E" w:rsidRPr="0006042E" w:rsidRDefault="0006042E">
      <w:pPr>
        <w:rPr>
          <w:lang w:val="en-GB"/>
        </w:rPr>
      </w:pPr>
    </w:p>
    <w:p w:rsidR="0006042E" w:rsidRPr="0006042E" w:rsidRDefault="0006042E">
      <w:pPr>
        <w:rPr>
          <w:lang w:val="en-GB"/>
        </w:rPr>
      </w:pPr>
      <w:r>
        <w:rPr>
          <w:lang w:val="en-GB"/>
        </w:rPr>
        <w:t>Supplementary Figure 2</w:t>
      </w:r>
    </w:p>
    <w:p w:rsidR="0006042E" w:rsidRPr="0006042E" w:rsidRDefault="0006042E">
      <w:pPr>
        <w:rPr>
          <w:lang w:val="en-GB"/>
        </w:rPr>
      </w:pPr>
    </w:p>
    <w:p w:rsidR="0006042E" w:rsidRPr="0006042E" w:rsidRDefault="0006042E">
      <w:pPr>
        <w:rPr>
          <w:lang w:val="en-GB"/>
        </w:rPr>
      </w:pPr>
      <w:r>
        <w:rPr>
          <w:noProof/>
          <w:lang w:val="pl-PL" w:eastAsia="pl-PL"/>
        </w:rPr>
        <w:drawing>
          <wp:inline distT="0" distB="0" distL="0" distR="0">
            <wp:extent cx="5760720" cy="790829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lementary Figure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0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42E" w:rsidRPr="0006042E" w:rsidRDefault="0006042E" w:rsidP="0006042E">
      <w:pPr>
        <w:spacing w:after="160" w:line="259" w:lineRule="auto"/>
        <w:rPr>
          <w:rFonts w:eastAsiaTheme="minorHAnsi"/>
          <w:sz w:val="22"/>
          <w:szCs w:val="22"/>
          <w:lang w:val="en-GB" w:eastAsia="en-US"/>
        </w:rPr>
      </w:pPr>
      <w:r w:rsidRPr="0006042E">
        <w:rPr>
          <w:rFonts w:eastAsiaTheme="minorHAnsi"/>
          <w:sz w:val="22"/>
          <w:szCs w:val="22"/>
          <w:lang w:val="en-GB" w:eastAsia="en-US"/>
        </w:rPr>
        <w:lastRenderedPageBreak/>
        <w:t>Supplementary Figure 2: The overview of mutation frequency within tumor suppressors (A), chromatin remodelling genes (B), proto-oncogenes (C) and genes with tyrosine kinase activity across BM developed from SCLC, LUAD, LUSC and LCLC</w:t>
      </w:r>
      <w:r>
        <w:rPr>
          <w:rFonts w:eastAsiaTheme="minorHAnsi"/>
          <w:sz w:val="22"/>
          <w:szCs w:val="22"/>
          <w:lang w:val="en-GB" w:eastAsia="en-US"/>
        </w:rPr>
        <w:t>.</w:t>
      </w:r>
    </w:p>
    <w:p w:rsidR="0006042E" w:rsidRPr="0006042E" w:rsidRDefault="0006042E">
      <w:pPr>
        <w:rPr>
          <w:lang w:val="en-GB"/>
        </w:rPr>
      </w:pPr>
    </w:p>
    <w:p w:rsidR="0006042E" w:rsidRDefault="0006042E">
      <w:pPr>
        <w:spacing w:after="160" w:line="259" w:lineRule="auto"/>
        <w:jc w:val="left"/>
        <w:rPr>
          <w:lang w:val="en-GB"/>
        </w:rPr>
      </w:pPr>
      <w:r>
        <w:rPr>
          <w:lang w:val="en-GB"/>
        </w:rPr>
        <w:br w:type="page"/>
      </w:r>
    </w:p>
    <w:p w:rsidR="0006042E" w:rsidRPr="0006042E" w:rsidRDefault="0006042E">
      <w:pPr>
        <w:rPr>
          <w:lang w:val="en-GB"/>
        </w:rPr>
      </w:pPr>
      <w:r>
        <w:rPr>
          <w:lang w:val="en-GB"/>
        </w:rPr>
        <w:lastRenderedPageBreak/>
        <w:t>Supplementary Figure 3</w:t>
      </w:r>
    </w:p>
    <w:p w:rsidR="0006042E" w:rsidRPr="0006042E" w:rsidRDefault="0006042E">
      <w:pPr>
        <w:rPr>
          <w:lang w:val="en-GB"/>
        </w:rPr>
      </w:pPr>
    </w:p>
    <w:p w:rsidR="0006042E" w:rsidRPr="0006042E" w:rsidRDefault="0006042E" w:rsidP="0006042E">
      <w:pPr>
        <w:jc w:val="center"/>
        <w:rPr>
          <w:lang w:val="en-GB"/>
        </w:rPr>
      </w:pPr>
      <w:r>
        <w:rPr>
          <w:noProof/>
          <w:lang w:val="pl-PL" w:eastAsia="pl-PL"/>
        </w:rPr>
        <w:drawing>
          <wp:inline distT="0" distB="0" distL="0" distR="0">
            <wp:extent cx="4223982" cy="7305503"/>
            <wp:effectExtent l="0" t="0" r="571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pplementary Figure 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1594" cy="7318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42E" w:rsidRPr="0006042E" w:rsidRDefault="0006042E">
      <w:pPr>
        <w:rPr>
          <w:lang w:val="en-GB"/>
        </w:rPr>
      </w:pPr>
    </w:p>
    <w:p w:rsidR="0006042E" w:rsidRPr="003D5AAC" w:rsidRDefault="0006042E" w:rsidP="0006042E">
      <w:pPr>
        <w:rPr>
          <w:b/>
          <w:lang w:val="en-GB"/>
        </w:rPr>
      </w:pPr>
      <w:r w:rsidRPr="003D5AAC">
        <w:rPr>
          <w:lang w:val="en-GB"/>
        </w:rPr>
        <w:t>Supplementary</w:t>
      </w:r>
      <w:r>
        <w:rPr>
          <w:lang w:val="en-GB"/>
        </w:rPr>
        <w:t xml:space="preserve"> Figure 3</w:t>
      </w:r>
      <w:r w:rsidRPr="003D5AAC">
        <w:rPr>
          <w:lang w:val="en-GB"/>
        </w:rPr>
        <w:t xml:space="preserve">: The overview </w:t>
      </w:r>
      <w:r>
        <w:rPr>
          <w:lang w:val="en-GB"/>
        </w:rPr>
        <w:t>of oncogenic pathways altered within SCLC-BM (A), LUAD-BM (B), LUSC-BM (C) and LCLC-BM (D)</w:t>
      </w:r>
    </w:p>
    <w:p w:rsidR="0006042E" w:rsidRPr="0006042E" w:rsidRDefault="0006042E">
      <w:pPr>
        <w:rPr>
          <w:lang w:val="en-GB"/>
        </w:rPr>
      </w:pPr>
    </w:p>
    <w:p w:rsidR="0006042E" w:rsidRPr="0006042E" w:rsidRDefault="0006042E">
      <w:pPr>
        <w:rPr>
          <w:lang w:val="en-GB"/>
        </w:rPr>
      </w:pPr>
    </w:p>
    <w:p w:rsidR="0006042E" w:rsidRDefault="0006042E">
      <w:pPr>
        <w:spacing w:after="160" w:line="259" w:lineRule="auto"/>
        <w:jc w:val="left"/>
        <w:rPr>
          <w:lang w:val="en-GB"/>
        </w:rPr>
      </w:pPr>
      <w:r>
        <w:rPr>
          <w:lang w:val="en-GB"/>
        </w:rPr>
        <w:br w:type="page"/>
      </w:r>
    </w:p>
    <w:p w:rsidR="0006042E" w:rsidRPr="0006042E" w:rsidRDefault="0006042E">
      <w:pPr>
        <w:rPr>
          <w:lang w:val="en-GB"/>
        </w:rPr>
      </w:pPr>
    </w:p>
    <w:p w:rsidR="0006042E" w:rsidRPr="006747EF" w:rsidRDefault="0006042E" w:rsidP="0006042E">
      <w:pPr>
        <w:spacing w:line="36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2</w:t>
      </w:r>
      <w:r w:rsidRPr="006747EF">
        <w:rPr>
          <w:rFonts w:ascii="Arial" w:eastAsia="Arial" w:hAnsi="Arial" w:cs="Arial"/>
          <w:b/>
          <w:sz w:val="28"/>
          <w:szCs w:val="28"/>
        </w:rPr>
        <w:t>. Supplementary Tables</w:t>
      </w:r>
    </w:p>
    <w:p w:rsidR="0006042E" w:rsidRDefault="0006042E" w:rsidP="0006042E">
      <w:pPr>
        <w:spacing w:line="360" w:lineRule="auto"/>
      </w:pPr>
    </w:p>
    <w:p w:rsidR="0006042E" w:rsidRDefault="0006042E" w:rsidP="0006042E">
      <w:pPr>
        <w:spacing w:line="360" w:lineRule="auto"/>
      </w:pPr>
      <w:r w:rsidRPr="006747EF">
        <w:t xml:space="preserve">Because of </w:t>
      </w:r>
      <w:r>
        <w:t>their</w:t>
      </w:r>
      <w:r w:rsidRPr="006747EF">
        <w:t xml:space="preserve"> size, </w:t>
      </w:r>
      <w:r>
        <w:t>all</w:t>
      </w:r>
      <w:r w:rsidRPr="006747EF">
        <w:t xml:space="preserve"> table</w:t>
      </w:r>
      <w:r>
        <w:t>s</w:t>
      </w:r>
      <w:r w:rsidRPr="006747EF">
        <w:t xml:space="preserve"> </w:t>
      </w:r>
      <w:r>
        <w:t>are</w:t>
      </w:r>
      <w:r w:rsidRPr="006747EF">
        <w:t xml:space="preserve"> provided as separate Excel file</w:t>
      </w:r>
      <w:r>
        <w:t>s</w:t>
      </w:r>
      <w:r w:rsidRPr="006747EF">
        <w:t>.</w:t>
      </w:r>
    </w:p>
    <w:p w:rsidR="0006042E" w:rsidRPr="0006042E" w:rsidRDefault="0006042E"/>
    <w:p w:rsidR="0006042E" w:rsidRPr="0006042E" w:rsidRDefault="0006042E" w:rsidP="0006042E">
      <w:pPr>
        <w:rPr>
          <w:bCs/>
          <w:color w:val="000000"/>
          <w:sz w:val="22"/>
          <w:szCs w:val="22"/>
          <w:lang w:val="en-GB" w:eastAsia="pl-PL"/>
        </w:rPr>
      </w:pPr>
      <w:r w:rsidRPr="0006042E">
        <w:rPr>
          <w:b/>
          <w:bCs/>
          <w:color w:val="000000"/>
          <w:sz w:val="22"/>
          <w:szCs w:val="22"/>
          <w:lang w:val="en-GB" w:eastAsia="pl-PL"/>
        </w:rPr>
        <w:t>Supplementary Table 1.</w:t>
      </w:r>
      <w:r w:rsidRPr="0006042E">
        <w:rPr>
          <w:bCs/>
          <w:color w:val="000000"/>
          <w:sz w:val="22"/>
          <w:szCs w:val="22"/>
          <w:lang w:val="en-GB" w:eastAsia="pl-PL"/>
        </w:rPr>
        <w:t xml:space="preserve"> The detailed clinical and demographic data summary of the studied group</w:t>
      </w:r>
      <w:r>
        <w:rPr>
          <w:bCs/>
          <w:color w:val="000000"/>
          <w:sz w:val="22"/>
          <w:szCs w:val="22"/>
          <w:lang w:val="en-GB" w:eastAsia="pl-PL"/>
        </w:rPr>
        <w:t>.</w:t>
      </w:r>
    </w:p>
    <w:p w:rsidR="0006042E" w:rsidRPr="0006042E" w:rsidRDefault="0006042E">
      <w:pPr>
        <w:rPr>
          <w:lang w:val="en-GB"/>
        </w:rPr>
      </w:pPr>
    </w:p>
    <w:p w:rsidR="0006042E" w:rsidRPr="0006042E" w:rsidRDefault="0006042E" w:rsidP="0006042E">
      <w:pPr>
        <w:rPr>
          <w:bCs/>
          <w:color w:val="000000"/>
          <w:sz w:val="22"/>
          <w:szCs w:val="22"/>
          <w:lang w:val="en-GB" w:eastAsia="pl-PL"/>
        </w:rPr>
      </w:pPr>
      <w:r w:rsidRPr="0006042E">
        <w:rPr>
          <w:b/>
          <w:bCs/>
          <w:color w:val="000000"/>
          <w:sz w:val="22"/>
          <w:szCs w:val="22"/>
          <w:lang w:val="en-GB" w:eastAsia="pl-PL"/>
        </w:rPr>
        <w:t>Supplementary Table 2</w:t>
      </w:r>
      <w:r w:rsidRPr="0006042E">
        <w:rPr>
          <w:bCs/>
          <w:color w:val="000000"/>
          <w:sz w:val="22"/>
          <w:szCs w:val="22"/>
          <w:lang w:val="en-GB" w:eastAsia="pl-PL"/>
        </w:rPr>
        <w:t>. The list of genes covered by SureSelect CD Glasgow</w:t>
      </w:r>
      <w:r>
        <w:rPr>
          <w:bCs/>
          <w:color w:val="000000"/>
          <w:sz w:val="22"/>
          <w:szCs w:val="22"/>
          <w:lang w:val="en-GB" w:eastAsia="pl-PL"/>
        </w:rPr>
        <w:t xml:space="preserve"> </w:t>
      </w:r>
      <w:r w:rsidRPr="0006042E">
        <w:rPr>
          <w:bCs/>
          <w:color w:val="000000"/>
          <w:sz w:val="22"/>
          <w:szCs w:val="22"/>
          <w:lang w:val="en-GB" w:eastAsia="pl-PL"/>
        </w:rPr>
        <w:t>Cancer Core Panel</w:t>
      </w:r>
      <w:r>
        <w:rPr>
          <w:bCs/>
          <w:color w:val="000000"/>
          <w:sz w:val="22"/>
          <w:szCs w:val="22"/>
          <w:lang w:val="en-GB" w:eastAsia="pl-PL"/>
        </w:rPr>
        <w:t>.</w:t>
      </w:r>
    </w:p>
    <w:p w:rsidR="0006042E" w:rsidRPr="0006042E" w:rsidRDefault="0006042E">
      <w:pPr>
        <w:rPr>
          <w:lang w:val="en-GB"/>
        </w:rPr>
      </w:pPr>
    </w:p>
    <w:p w:rsidR="0006042E" w:rsidRPr="0006042E" w:rsidRDefault="0006042E" w:rsidP="0006042E">
      <w:pPr>
        <w:rPr>
          <w:b/>
          <w:bCs/>
          <w:color w:val="000000"/>
          <w:sz w:val="22"/>
          <w:szCs w:val="22"/>
          <w:lang w:val="en-GB" w:eastAsia="pl-PL"/>
        </w:rPr>
      </w:pPr>
      <w:r w:rsidRPr="0006042E">
        <w:rPr>
          <w:b/>
          <w:bCs/>
          <w:color w:val="000000"/>
          <w:sz w:val="22"/>
          <w:szCs w:val="22"/>
          <w:lang w:val="en-GB" w:eastAsia="pl-PL"/>
        </w:rPr>
        <w:t xml:space="preserve">Supplementary Table 3. </w:t>
      </w:r>
      <w:r w:rsidRPr="0006042E">
        <w:rPr>
          <w:bCs/>
          <w:color w:val="000000"/>
          <w:sz w:val="22"/>
          <w:szCs w:val="22"/>
          <w:lang w:val="en-GB" w:eastAsia="pl-PL"/>
        </w:rPr>
        <w:t>The list of filtered variants in studied types and subtypes of lung cancer.</w:t>
      </w:r>
    </w:p>
    <w:p w:rsidR="0006042E" w:rsidRPr="0006042E" w:rsidRDefault="0006042E">
      <w:pPr>
        <w:rPr>
          <w:lang w:val="en-GB"/>
        </w:rPr>
      </w:pPr>
    </w:p>
    <w:p w:rsidR="0006042E" w:rsidRPr="0006042E" w:rsidRDefault="0006042E" w:rsidP="0006042E">
      <w:pPr>
        <w:rPr>
          <w:bCs/>
          <w:color w:val="000000"/>
          <w:sz w:val="22"/>
          <w:szCs w:val="22"/>
          <w:lang w:val="en-GB" w:eastAsia="pl-PL"/>
        </w:rPr>
      </w:pPr>
      <w:r w:rsidRPr="0006042E">
        <w:rPr>
          <w:b/>
          <w:bCs/>
          <w:color w:val="000000"/>
          <w:sz w:val="22"/>
          <w:szCs w:val="22"/>
          <w:lang w:val="en-GB" w:eastAsia="pl-PL"/>
        </w:rPr>
        <w:t>Supplementary Table 4.</w:t>
      </w:r>
      <w:r w:rsidRPr="0006042E">
        <w:rPr>
          <w:bCs/>
          <w:color w:val="000000"/>
          <w:sz w:val="22"/>
          <w:szCs w:val="22"/>
          <w:lang w:val="en-GB" w:eastAsia="pl-PL"/>
        </w:rPr>
        <w:t xml:space="preserve"> The final list of selected variants for further analysis, in the mutation annotated format (MAF)</w:t>
      </w:r>
      <w:r>
        <w:rPr>
          <w:bCs/>
          <w:color w:val="000000"/>
          <w:sz w:val="22"/>
          <w:szCs w:val="22"/>
          <w:lang w:val="en-GB" w:eastAsia="pl-PL"/>
        </w:rPr>
        <w:t>.</w:t>
      </w:r>
    </w:p>
    <w:p w:rsidR="0006042E" w:rsidRPr="0006042E" w:rsidRDefault="0006042E">
      <w:pPr>
        <w:rPr>
          <w:lang w:val="en-GB"/>
        </w:rPr>
      </w:pPr>
    </w:p>
    <w:p w:rsidR="007A6620" w:rsidRPr="007A6620" w:rsidRDefault="007A6620" w:rsidP="007A6620">
      <w:pPr>
        <w:rPr>
          <w:bCs/>
          <w:color w:val="000000"/>
          <w:sz w:val="22"/>
          <w:szCs w:val="22"/>
          <w:lang w:val="en-GB" w:eastAsia="pl-PL"/>
        </w:rPr>
      </w:pPr>
      <w:r>
        <w:rPr>
          <w:b/>
          <w:bCs/>
          <w:color w:val="000000"/>
          <w:sz w:val="22"/>
          <w:szCs w:val="22"/>
          <w:lang w:val="en-GB" w:eastAsia="pl-PL"/>
        </w:rPr>
        <w:t>Supplementary Table 5.</w:t>
      </w:r>
      <w:r w:rsidRPr="007A6620">
        <w:rPr>
          <w:b/>
          <w:bCs/>
          <w:color w:val="000000"/>
          <w:sz w:val="22"/>
          <w:szCs w:val="22"/>
          <w:lang w:val="en-GB" w:eastAsia="pl-PL"/>
        </w:rPr>
        <w:t xml:space="preserve"> </w:t>
      </w:r>
      <w:r w:rsidRPr="007A6620">
        <w:rPr>
          <w:bCs/>
          <w:color w:val="000000"/>
          <w:sz w:val="22"/>
          <w:szCs w:val="22"/>
          <w:lang w:val="en-GB" w:eastAsia="pl-PL"/>
        </w:rPr>
        <w:t>The summary of variants classification, variant types, and SNP class across all subtypes of lung cancer BMs.</w:t>
      </w:r>
    </w:p>
    <w:p w:rsidR="0006042E" w:rsidRPr="007A6620" w:rsidRDefault="0006042E">
      <w:pPr>
        <w:rPr>
          <w:lang w:val="en-GB"/>
        </w:rPr>
      </w:pPr>
    </w:p>
    <w:p w:rsidR="007A6620" w:rsidRPr="007A6620" w:rsidRDefault="007A6620" w:rsidP="007A6620">
      <w:pPr>
        <w:rPr>
          <w:bCs/>
          <w:color w:val="000000"/>
          <w:sz w:val="22"/>
          <w:szCs w:val="22"/>
          <w:lang w:val="en-GB" w:eastAsia="pl-PL"/>
        </w:rPr>
      </w:pPr>
      <w:r>
        <w:rPr>
          <w:b/>
          <w:bCs/>
          <w:color w:val="000000"/>
          <w:sz w:val="22"/>
          <w:szCs w:val="22"/>
          <w:lang w:val="en-GB" w:eastAsia="pl-PL"/>
        </w:rPr>
        <w:t>Supplementary Table 6.</w:t>
      </w:r>
      <w:r w:rsidRPr="007A6620">
        <w:rPr>
          <w:b/>
          <w:bCs/>
          <w:color w:val="000000"/>
          <w:sz w:val="22"/>
          <w:szCs w:val="22"/>
          <w:lang w:val="en-GB" w:eastAsia="pl-PL"/>
        </w:rPr>
        <w:t xml:space="preserve"> </w:t>
      </w:r>
      <w:r w:rsidRPr="007A6620">
        <w:rPr>
          <w:bCs/>
          <w:color w:val="000000"/>
          <w:sz w:val="22"/>
          <w:szCs w:val="22"/>
          <w:lang w:val="en-GB" w:eastAsia="pl-PL"/>
        </w:rPr>
        <w:t>The abbreviations od cancer cohorts according to TCGA Study Abbreviations.</w:t>
      </w:r>
    </w:p>
    <w:p w:rsidR="0006042E" w:rsidRPr="0006042E" w:rsidRDefault="0006042E">
      <w:pPr>
        <w:rPr>
          <w:lang w:val="en-GB"/>
        </w:rPr>
      </w:pPr>
    </w:p>
    <w:p w:rsidR="007A6620" w:rsidRPr="007A6620" w:rsidRDefault="007A6620" w:rsidP="007A6620">
      <w:pPr>
        <w:rPr>
          <w:bCs/>
          <w:color w:val="000000"/>
          <w:sz w:val="22"/>
          <w:szCs w:val="22"/>
          <w:lang w:val="en-GB" w:eastAsia="pl-PL"/>
        </w:rPr>
      </w:pPr>
      <w:r w:rsidRPr="007A6620">
        <w:rPr>
          <w:b/>
          <w:bCs/>
          <w:color w:val="000000"/>
          <w:sz w:val="22"/>
          <w:szCs w:val="22"/>
          <w:lang w:val="en-GB" w:eastAsia="pl-PL"/>
        </w:rPr>
        <w:t xml:space="preserve">Supplementary Table 7. </w:t>
      </w:r>
      <w:r w:rsidRPr="007A6620">
        <w:rPr>
          <w:bCs/>
          <w:color w:val="000000"/>
          <w:sz w:val="22"/>
          <w:szCs w:val="22"/>
          <w:lang w:val="en-GB" w:eastAsia="pl-PL"/>
        </w:rPr>
        <w:t>The APOBEC enrichement related to genes in LUAD-BM</w:t>
      </w:r>
      <w:r>
        <w:rPr>
          <w:bCs/>
          <w:color w:val="000000"/>
          <w:sz w:val="22"/>
          <w:szCs w:val="22"/>
          <w:lang w:val="en-GB" w:eastAsia="pl-PL"/>
        </w:rPr>
        <w:t>.</w:t>
      </w:r>
    </w:p>
    <w:p w:rsidR="0006042E" w:rsidRPr="007A6620" w:rsidRDefault="0006042E">
      <w:pPr>
        <w:rPr>
          <w:lang w:val="en-GB"/>
        </w:rPr>
      </w:pPr>
    </w:p>
    <w:p w:rsidR="007A6620" w:rsidRPr="007A6620" w:rsidRDefault="007A6620" w:rsidP="007A6620">
      <w:pPr>
        <w:rPr>
          <w:bCs/>
          <w:color w:val="000000"/>
          <w:sz w:val="22"/>
          <w:szCs w:val="22"/>
          <w:lang w:val="en-GB" w:eastAsia="pl-PL"/>
        </w:rPr>
      </w:pPr>
      <w:r>
        <w:rPr>
          <w:b/>
          <w:bCs/>
          <w:color w:val="000000"/>
          <w:sz w:val="22"/>
          <w:szCs w:val="22"/>
          <w:lang w:val="en-GB" w:eastAsia="pl-PL"/>
        </w:rPr>
        <w:t xml:space="preserve">Supplementary Table 8. </w:t>
      </w:r>
      <w:r w:rsidRPr="007A6620">
        <w:rPr>
          <w:bCs/>
          <w:color w:val="000000"/>
          <w:sz w:val="22"/>
          <w:szCs w:val="22"/>
          <w:lang w:val="en-GB" w:eastAsia="pl-PL"/>
        </w:rPr>
        <w:t>The incidence of genes detected in our cohorts and their frequency reported in the TCGA database</w:t>
      </w:r>
      <w:r>
        <w:rPr>
          <w:bCs/>
          <w:color w:val="000000"/>
          <w:sz w:val="22"/>
          <w:szCs w:val="22"/>
          <w:lang w:val="en-GB" w:eastAsia="pl-PL"/>
        </w:rPr>
        <w:t xml:space="preserve"> in primary lung cancer lesions.</w:t>
      </w:r>
    </w:p>
    <w:p w:rsidR="0006042E" w:rsidRPr="007A6620" w:rsidRDefault="0006042E">
      <w:pPr>
        <w:rPr>
          <w:lang w:val="en-GB"/>
        </w:rPr>
      </w:pPr>
    </w:p>
    <w:p w:rsidR="007A6620" w:rsidRPr="007A6620" w:rsidRDefault="007A6620" w:rsidP="007A6620">
      <w:pPr>
        <w:rPr>
          <w:bCs/>
          <w:color w:val="000000"/>
          <w:sz w:val="22"/>
          <w:szCs w:val="22"/>
          <w:lang w:val="en-GB" w:eastAsia="pl-PL"/>
        </w:rPr>
      </w:pPr>
      <w:r>
        <w:rPr>
          <w:b/>
          <w:bCs/>
          <w:color w:val="000000"/>
          <w:sz w:val="22"/>
          <w:szCs w:val="22"/>
          <w:lang w:val="en-GB" w:eastAsia="pl-PL"/>
        </w:rPr>
        <w:t xml:space="preserve">Supplementary Table 9. </w:t>
      </w:r>
      <w:r w:rsidRPr="007A6620">
        <w:rPr>
          <w:bCs/>
          <w:color w:val="000000"/>
          <w:sz w:val="22"/>
          <w:szCs w:val="22"/>
          <w:lang w:val="en-GB" w:eastAsia="pl-PL"/>
        </w:rPr>
        <w:t>Division of genes depending on their function</w:t>
      </w:r>
      <w:r>
        <w:rPr>
          <w:bCs/>
          <w:color w:val="000000"/>
          <w:sz w:val="22"/>
          <w:szCs w:val="22"/>
          <w:lang w:val="en-GB" w:eastAsia="pl-PL"/>
        </w:rPr>
        <w:t>.</w:t>
      </w:r>
    </w:p>
    <w:p w:rsidR="0006042E" w:rsidRPr="0006042E" w:rsidRDefault="0006042E">
      <w:pPr>
        <w:rPr>
          <w:lang w:val="en-GB"/>
        </w:rPr>
      </w:pPr>
    </w:p>
    <w:p w:rsidR="007A6620" w:rsidRDefault="007A6620" w:rsidP="007A6620">
      <w:pPr>
        <w:rPr>
          <w:bCs/>
          <w:color w:val="000000"/>
          <w:sz w:val="22"/>
          <w:szCs w:val="22"/>
          <w:lang w:val="en-GB" w:eastAsia="pl-PL"/>
        </w:rPr>
      </w:pPr>
      <w:r w:rsidRPr="007A6620">
        <w:rPr>
          <w:b/>
          <w:bCs/>
          <w:color w:val="000000"/>
          <w:sz w:val="22"/>
          <w:szCs w:val="22"/>
          <w:lang w:val="en-GB" w:eastAsia="pl-PL"/>
        </w:rPr>
        <w:t xml:space="preserve">Supplementary </w:t>
      </w:r>
      <w:r>
        <w:rPr>
          <w:b/>
          <w:bCs/>
          <w:color w:val="000000"/>
          <w:sz w:val="22"/>
          <w:szCs w:val="22"/>
          <w:lang w:val="en-GB" w:eastAsia="pl-PL"/>
        </w:rPr>
        <w:t>Table 10.</w:t>
      </w:r>
      <w:r w:rsidRPr="007A6620">
        <w:rPr>
          <w:bCs/>
          <w:color w:val="000000"/>
          <w:sz w:val="22"/>
          <w:szCs w:val="22"/>
          <w:lang w:val="en-GB" w:eastAsia="pl-PL"/>
        </w:rPr>
        <w:t xml:space="preserve"> The overview of NGS based studies on lung cancer brain metastases</w:t>
      </w:r>
      <w:r>
        <w:rPr>
          <w:bCs/>
          <w:color w:val="000000"/>
          <w:sz w:val="22"/>
          <w:szCs w:val="22"/>
          <w:lang w:val="en-GB" w:eastAsia="pl-PL"/>
        </w:rPr>
        <w:t>.</w:t>
      </w:r>
      <w:r w:rsidRPr="007A6620">
        <w:rPr>
          <w:bCs/>
          <w:color w:val="000000"/>
          <w:sz w:val="22"/>
          <w:szCs w:val="22"/>
          <w:lang w:val="en-GB" w:eastAsia="pl-PL"/>
        </w:rPr>
        <w:t xml:space="preserve"> </w:t>
      </w:r>
    </w:p>
    <w:p w:rsidR="007A6620" w:rsidRDefault="007A6620">
      <w:pPr>
        <w:spacing w:after="160" w:line="259" w:lineRule="auto"/>
        <w:jc w:val="left"/>
        <w:rPr>
          <w:bCs/>
          <w:color w:val="000000"/>
          <w:sz w:val="22"/>
          <w:szCs w:val="22"/>
          <w:lang w:val="en-GB" w:eastAsia="pl-PL"/>
        </w:rPr>
      </w:pPr>
      <w:r>
        <w:rPr>
          <w:bCs/>
          <w:color w:val="000000"/>
          <w:sz w:val="22"/>
          <w:szCs w:val="22"/>
          <w:lang w:val="en-GB" w:eastAsia="pl-PL"/>
        </w:rPr>
        <w:br w:type="page"/>
      </w:r>
    </w:p>
    <w:p w:rsidR="007A6620" w:rsidRDefault="007A6620" w:rsidP="007A6620">
      <w:pPr>
        <w:rPr>
          <w:lang w:val="en-GB"/>
        </w:rPr>
      </w:pPr>
      <w:bookmarkStart w:id="0" w:name="_GoBack"/>
      <w:bookmarkEnd w:id="0"/>
    </w:p>
    <w:sectPr w:rsidR="007A662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129" w:rsidRDefault="00E61129" w:rsidP="0006042E">
      <w:r>
        <w:separator/>
      </w:r>
    </w:p>
  </w:endnote>
  <w:endnote w:type="continuationSeparator" w:id="0">
    <w:p w:rsidR="00E61129" w:rsidRDefault="00E61129" w:rsidP="0006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0415583"/>
      <w:docPartObj>
        <w:docPartGallery w:val="Page Numbers (Bottom of Page)"/>
        <w:docPartUnique/>
      </w:docPartObj>
    </w:sdtPr>
    <w:sdtContent>
      <w:p w:rsidR="0006042E" w:rsidRDefault="0006042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620" w:rsidRPr="007A6620">
          <w:rPr>
            <w:noProof/>
            <w:lang w:val="pl-PL"/>
          </w:rPr>
          <w:t>1</w:t>
        </w:r>
        <w:r>
          <w:fldChar w:fldCharType="end"/>
        </w:r>
      </w:p>
    </w:sdtContent>
  </w:sdt>
  <w:p w:rsidR="0006042E" w:rsidRDefault="000604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129" w:rsidRDefault="00E61129" w:rsidP="0006042E">
      <w:r>
        <w:separator/>
      </w:r>
    </w:p>
  </w:footnote>
  <w:footnote w:type="continuationSeparator" w:id="0">
    <w:p w:rsidR="00E61129" w:rsidRDefault="00E61129" w:rsidP="00060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42E"/>
    <w:rsid w:val="0006042E"/>
    <w:rsid w:val="007A6620"/>
    <w:rsid w:val="008E3F46"/>
    <w:rsid w:val="00C30558"/>
    <w:rsid w:val="00E6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51621"/>
  <w15:chartTrackingRefBased/>
  <w15:docId w15:val="{65E94089-CC2F-47E2-A68B-36261FCD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042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04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042E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Stopka">
    <w:name w:val="footer"/>
    <w:basedOn w:val="Normalny"/>
    <w:link w:val="StopkaZnak"/>
    <w:uiPriority w:val="99"/>
    <w:unhideWhenUsed/>
    <w:rsid w:val="000604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042E"/>
    <w:rPr>
      <w:rFonts w:ascii="Times New Roman" w:eastAsia="Times New Roman" w:hAnsi="Times New Roman" w:cs="Times New Roman"/>
      <w:sz w:val="24"/>
      <w:szCs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367</Words>
  <Characters>2116</Characters>
  <Application>Microsoft Office Word</Application>
  <DocSecurity>0</DocSecurity>
  <Lines>96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Nicoś</dc:creator>
  <cp:keywords/>
  <dc:description/>
  <cp:lastModifiedBy>Marcin Nicoś</cp:lastModifiedBy>
  <cp:revision>1</cp:revision>
  <dcterms:created xsi:type="dcterms:W3CDTF">2024-10-17T09:39:00Z</dcterms:created>
  <dcterms:modified xsi:type="dcterms:W3CDTF">2024-10-17T09:57:00Z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18c92d7d-6731-4362-9f7d-ecbb0bef71b1</vt:lpwstr>
  </property>
</Properties>
</file>