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684E5" w14:textId="33B904D4" w:rsidR="00870838" w:rsidRPr="00AB7680" w:rsidRDefault="00AE404D" w:rsidP="00870838">
      <w:pPr>
        <w:pStyle w:val="BodyText"/>
        <w:ind w:left="0"/>
        <w:rPr>
          <w:rFonts w:ascii="Gill Sans MT" w:hAnsi="Gill Sans MT"/>
          <w:sz w:val="22"/>
          <w:szCs w:val="22"/>
        </w:rPr>
      </w:pPr>
      <w:bookmarkStart w:id="0" w:name="_Hlk48390939"/>
      <w:r>
        <w:rPr>
          <w:rFonts w:ascii="Gill Sans MT" w:hAnsi="Gill Sans MT"/>
          <w:sz w:val="22"/>
          <w:szCs w:val="22"/>
        </w:rPr>
        <w:t xml:space="preserve">S2 </w:t>
      </w:r>
      <w:r w:rsidR="00A64CC8">
        <w:rPr>
          <w:rFonts w:ascii="Gill Sans MT" w:hAnsi="Gill Sans MT"/>
          <w:sz w:val="22"/>
          <w:szCs w:val="22"/>
        </w:rPr>
        <w:t>f</w:t>
      </w:r>
      <w:bookmarkStart w:id="1" w:name="_GoBack"/>
      <w:bookmarkEnd w:id="1"/>
      <w:r w:rsidR="00870838" w:rsidRPr="00AB7680">
        <w:rPr>
          <w:rFonts w:ascii="Gill Sans MT" w:hAnsi="Gill Sans MT"/>
          <w:sz w:val="22"/>
          <w:szCs w:val="22"/>
        </w:rPr>
        <w:t xml:space="preserve">ile </w:t>
      </w:r>
      <w:r>
        <w:rPr>
          <w:rFonts w:ascii="Gill Sans MT" w:hAnsi="Gill Sans MT"/>
          <w:sz w:val="22"/>
          <w:szCs w:val="22"/>
        </w:rPr>
        <w:t>2</w:t>
      </w:r>
      <w:r w:rsidR="00870838" w:rsidRPr="00AB7680">
        <w:rPr>
          <w:rFonts w:ascii="Gill Sans MT" w:hAnsi="Gill Sans MT"/>
          <w:sz w:val="22"/>
          <w:szCs w:val="22"/>
        </w:rPr>
        <w:t xml:space="preserve">: Sample </w:t>
      </w:r>
      <w:r>
        <w:rPr>
          <w:rFonts w:ascii="Gill Sans MT" w:hAnsi="Gill Sans MT"/>
          <w:sz w:val="22"/>
          <w:szCs w:val="22"/>
        </w:rPr>
        <w:t>l</w:t>
      </w:r>
      <w:r w:rsidR="00870838" w:rsidRPr="00AB7680">
        <w:rPr>
          <w:rFonts w:ascii="Gill Sans MT" w:hAnsi="Gill Sans MT"/>
          <w:sz w:val="22"/>
          <w:szCs w:val="22"/>
        </w:rPr>
        <w:t xml:space="preserve">eadership </w:t>
      </w:r>
      <w:r>
        <w:rPr>
          <w:rFonts w:ascii="Gill Sans MT" w:hAnsi="Gill Sans MT"/>
          <w:sz w:val="22"/>
          <w:szCs w:val="22"/>
        </w:rPr>
        <w:t>p</w:t>
      </w:r>
      <w:r w:rsidR="00870838" w:rsidRPr="00AB7680">
        <w:rPr>
          <w:rFonts w:ascii="Gill Sans MT" w:hAnsi="Gill Sans MT"/>
          <w:sz w:val="22"/>
          <w:szCs w:val="22"/>
        </w:rPr>
        <w:t xml:space="preserve">roject against </w:t>
      </w:r>
      <w:r>
        <w:rPr>
          <w:rFonts w:ascii="Gill Sans MT" w:hAnsi="Gill Sans MT"/>
          <w:sz w:val="22"/>
          <w:szCs w:val="22"/>
        </w:rPr>
        <w:t>r</w:t>
      </w:r>
      <w:r w:rsidR="00870838" w:rsidRPr="00AB7680">
        <w:rPr>
          <w:rFonts w:ascii="Gill Sans MT" w:hAnsi="Gill Sans MT"/>
          <w:sz w:val="22"/>
          <w:szCs w:val="22"/>
        </w:rPr>
        <w:t xml:space="preserve">esults </w:t>
      </w:r>
      <w:r>
        <w:rPr>
          <w:rFonts w:ascii="Gill Sans MT" w:hAnsi="Gill Sans MT"/>
          <w:sz w:val="22"/>
          <w:szCs w:val="22"/>
        </w:rPr>
        <w:t>d</w:t>
      </w:r>
      <w:r w:rsidR="00870838" w:rsidRPr="00AB7680">
        <w:rPr>
          <w:rFonts w:ascii="Gill Sans MT" w:hAnsi="Gill Sans MT"/>
          <w:sz w:val="22"/>
          <w:szCs w:val="22"/>
        </w:rPr>
        <w:t xml:space="preserve">ocumented in </w:t>
      </w:r>
      <w:r>
        <w:rPr>
          <w:rFonts w:ascii="Gill Sans MT" w:hAnsi="Gill Sans MT"/>
          <w:sz w:val="22"/>
          <w:szCs w:val="22"/>
        </w:rPr>
        <w:t>s</w:t>
      </w:r>
      <w:r w:rsidR="00870838" w:rsidRPr="00AB7680">
        <w:rPr>
          <w:rFonts w:ascii="Gill Sans MT" w:hAnsi="Gill Sans MT"/>
          <w:sz w:val="22"/>
          <w:szCs w:val="22"/>
        </w:rPr>
        <w:t xml:space="preserve">elected </w:t>
      </w:r>
      <w:r>
        <w:rPr>
          <w:rFonts w:ascii="Gill Sans MT" w:hAnsi="Gill Sans MT"/>
          <w:sz w:val="22"/>
          <w:szCs w:val="22"/>
        </w:rPr>
        <w:t>p</w:t>
      </w:r>
      <w:r w:rsidR="00870838" w:rsidRPr="00AB7680">
        <w:rPr>
          <w:rFonts w:ascii="Gill Sans MT" w:hAnsi="Gill Sans MT"/>
          <w:sz w:val="22"/>
          <w:szCs w:val="22"/>
        </w:rPr>
        <w:t xml:space="preserve">rimary </w:t>
      </w:r>
      <w:r>
        <w:rPr>
          <w:rFonts w:ascii="Gill Sans MT" w:hAnsi="Gill Sans MT"/>
          <w:sz w:val="22"/>
          <w:szCs w:val="22"/>
        </w:rPr>
        <w:t>h</w:t>
      </w:r>
      <w:r w:rsidR="00870838" w:rsidRPr="00AB7680">
        <w:rPr>
          <w:rFonts w:ascii="Gill Sans MT" w:hAnsi="Gill Sans MT"/>
          <w:sz w:val="22"/>
          <w:szCs w:val="22"/>
        </w:rPr>
        <w:t xml:space="preserve">ealth </w:t>
      </w:r>
      <w:r>
        <w:rPr>
          <w:rFonts w:ascii="Gill Sans MT" w:hAnsi="Gill Sans MT"/>
          <w:sz w:val="22"/>
          <w:szCs w:val="22"/>
        </w:rPr>
        <w:t>c</w:t>
      </w:r>
      <w:r w:rsidR="00870838" w:rsidRPr="00AB7680">
        <w:rPr>
          <w:rFonts w:ascii="Gill Sans MT" w:hAnsi="Gill Sans MT"/>
          <w:sz w:val="22"/>
          <w:szCs w:val="22"/>
        </w:rPr>
        <w:t xml:space="preserve">are </w:t>
      </w:r>
      <w:r>
        <w:rPr>
          <w:rFonts w:ascii="Gill Sans MT" w:hAnsi="Gill Sans MT"/>
          <w:sz w:val="22"/>
          <w:szCs w:val="22"/>
        </w:rPr>
        <w:t>f</w:t>
      </w:r>
      <w:r w:rsidR="00870838" w:rsidRPr="00AB7680">
        <w:rPr>
          <w:rFonts w:ascii="Gill Sans MT" w:hAnsi="Gill Sans MT"/>
          <w:sz w:val="22"/>
          <w:szCs w:val="22"/>
        </w:rPr>
        <w:t xml:space="preserve">acilities, </w:t>
      </w:r>
      <w:r w:rsidR="009A022F" w:rsidRPr="00AB7680">
        <w:rPr>
          <w:rFonts w:ascii="Gill Sans MT" w:hAnsi="Gill Sans MT"/>
          <w:sz w:val="22"/>
          <w:szCs w:val="22"/>
        </w:rPr>
        <w:t>Sept</w:t>
      </w:r>
      <w:r w:rsidR="009A022F">
        <w:rPr>
          <w:rFonts w:ascii="Gill Sans MT" w:hAnsi="Gill Sans MT"/>
          <w:sz w:val="22"/>
          <w:szCs w:val="22"/>
        </w:rPr>
        <w:t>ember</w:t>
      </w:r>
      <w:r w:rsidR="00870838" w:rsidRPr="00AB7680">
        <w:rPr>
          <w:rFonts w:ascii="Gill Sans MT" w:hAnsi="Gill Sans MT"/>
          <w:sz w:val="22"/>
          <w:szCs w:val="22"/>
        </w:rPr>
        <w:t xml:space="preserve"> 2018</w:t>
      </w:r>
    </w:p>
    <w:tbl>
      <w:tblPr>
        <w:tblStyle w:val="GridTable1Light1"/>
        <w:tblW w:w="9355" w:type="dxa"/>
        <w:tblLook w:val="04A0" w:firstRow="1" w:lastRow="0" w:firstColumn="1" w:lastColumn="0" w:noHBand="0" w:noVBand="1"/>
      </w:tblPr>
      <w:tblGrid>
        <w:gridCol w:w="1172"/>
        <w:gridCol w:w="1530"/>
        <w:gridCol w:w="3385"/>
        <w:gridCol w:w="3268"/>
      </w:tblGrid>
      <w:tr w:rsidR="00870838" w:rsidRPr="00AB7680" w14:paraId="4F676339" w14:textId="77777777" w:rsidTr="00095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bookmarkEnd w:id="0"/>
          <w:p w14:paraId="27351299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Region </w:t>
            </w:r>
          </w:p>
        </w:tc>
        <w:tc>
          <w:tcPr>
            <w:tcW w:w="1170" w:type="dxa"/>
          </w:tcPr>
          <w:p w14:paraId="3A17340D" w14:textId="77777777"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Topic </w:t>
            </w:r>
          </w:p>
        </w:tc>
        <w:tc>
          <w:tcPr>
            <w:tcW w:w="3600" w:type="dxa"/>
          </w:tcPr>
          <w:p w14:paraId="2734A09B" w14:textId="77777777"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Challenges/projects</w:t>
            </w:r>
          </w:p>
        </w:tc>
        <w:tc>
          <w:tcPr>
            <w:tcW w:w="3600" w:type="dxa"/>
          </w:tcPr>
          <w:p w14:paraId="29021188" w14:textId="77777777"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Reported results (Aug 2017–Sept 2018)</w:t>
            </w:r>
          </w:p>
        </w:tc>
      </w:tr>
      <w:tr w:rsidR="00870838" w:rsidRPr="00AB7680" w14:paraId="37B43899" w14:textId="77777777" w:rsidTr="000951D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14:paraId="4C567339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Amhara </w:t>
            </w:r>
          </w:p>
        </w:tc>
        <w:tc>
          <w:tcPr>
            <w:tcW w:w="1170" w:type="dxa"/>
          </w:tcPr>
          <w:p w14:paraId="2B8F32A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Woreda standards  </w:t>
            </w:r>
          </w:p>
        </w:tc>
        <w:tc>
          <w:tcPr>
            <w:tcW w:w="3600" w:type="dxa"/>
          </w:tcPr>
          <w:p w14:paraId="2F977F3F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woreda management standards met from 53% to 75%. (HSS project, #21).</w:t>
            </w:r>
          </w:p>
        </w:tc>
        <w:tc>
          <w:tcPr>
            <w:tcW w:w="3600" w:type="dxa"/>
          </w:tcPr>
          <w:p w14:paraId="61F9656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woreda management standards met from 53% to 96%. </w:t>
            </w:r>
          </w:p>
        </w:tc>
      </w:tr>
      <w:tr w:rsidR="00870838" w:rsidRPr="00AB7680" w14:paraId="41F88E44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17EC1C0D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7FCE9B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ANC4+ service uptake </w:t>
            </w:r>
          </w:p>
        </w:tc>
        <w:tc>
          <w:tcPr>
            <w:tcW w:w="3600" w:type="dxa"/>
          </w:tcPr>
          <w:p w14:paraId="1C9F579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ANC4+ service uptake coverage from 48% to 75%. (Maternal and neonatal health: ANC project, #60).</w:t>
            </w:r>
          </w:p>
        </w:tc>
        <w:tc>
          <w:tcPr>
            <w:tcW w:w="3600" w:type="dxa"/>
          </w:tcPr>
          <w:p w14:paraId="27F01F96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ANC4+ service uptake coverage from 48% to 58%. </w:t>
            </w:r>
          </w:p>
        </w:tc>
      </w:tr>
      <w:tr w:rsidR="00870838" w:rsidRPr="00AB7680" w14:paraId="3812DB2B" w14:textId="77777777" w:rsidTr="000951D0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77769932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BE012D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Skilled delivery </w:t>
            </w:r>
          </w:p>
        </w:tc>
        <w:tc>
          <w:tcPr>
            <w:tcW w:w="3600" w:type="dxa"/>
          </w:tcPr>
          <w:p w14:paraId="7E3FAFB9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skilled delivery service uptake coverage from 64% to 70%. (Maternal and neonatal health: delivery project, #7).</w:t>
            </w:r>
          </w:p>
        </w:tc>
        <w:tc>
          <w:tcPr>
            <w:tcW w:w="3600" w:type="dxa"/>
          </w:tcPr>
          <w:p w14:paraId="6C454271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skilled delivery service uptake coverage from 64% to 71%. </w:t>
            </w:r>
          </w:p>
        </w:tc>
      </w:tr>
      <w:tr w:rsidR="00870838" w:rsidRPr="00AB7680" w14:paraId="10DF5724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466ECCAC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3AECA56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Immunization </w:t>
            </w:r>
          </w:p>
        </w:tc>
        <w:tc>
          <w:tcPr>
            <w:tcW w:w="3600" w:type="dxa"/>
          </w:tcPr>
          <w:p w14:paraId="039515A5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Aug 2018: decrease Penta3 defaulter rate from 7% to 5%. (Child health- immunization, #69).</w:t>
            </w:r>
          </w:p>
        </w:tc>
        <w:tc>
          <w:tcPr>
            <w:tcW w:w="3600" w:type="dxa"/>
          </w:tcPr>
          <w:p w14:paraId="096C0A99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Decreased Penta3 defaulter rate from 7% to 3%.</w:t>
            </w:r>
          </w:p>
        </w:tc>
      </w:tr>
      <w:tr w:rsidR="00870838" w:rsidRPr="00AB7680" w14:paraId="1F8C18D2" w14:textId="77777777" w:rsidTr="000951D0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631EC576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E8A215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Severe acute malnutrition </w:t>
            </w:r>
          </w:p>
        </w:tc>
        <w:tc>
          <w:tcPr>
            <w:tcW w:w="3600" w:type="dxa"/>
          </w:tcPr>
          <w:p w14:paraId="042E393D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Aug 2018: decrease severe acute malnutrition (prevalence rate from 3.6% to 1%. (Nutrition project, #75)</w:t>
            </w:r>
          </w:p>
        </w:tc>
        <w:tc>
          <w:tcPr>
            <w:tcW w:w="3600" w:type="dxa"/>
          </w:tcPr>
          <w:p w14:paraId="7C568DD5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Decreased severe acute malnutrition prevalence rate from 3.6% to 1.3%. </w:t>
            </w:r>
          </w:p>
        </w:tc>
      </w:tr>
      <w:tr w:rsidR="00870838" w:rsidRPr="00AB7680" w14:paraId="55C7E55F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14:paraId="5CA0EE41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Oromia </w:t>
            </w:r>
          </w:p>
        </w:tc>
        <w:tc>
          <w:tcPr>
            <w:tcW w:w="1170" w:type="dxa"/>
          </w:tcPr>
          <w:p w14:paraId="24E115C5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Disease Prevention  </w:t>
            </w:r>
          </w:p>
        </w:tc>
        <w:tc>
          <w:tcPr>
            <w:tcW w:w="3600" w:type="dxa"/>
          </w:tcPr>
          <w:p w14:paraId="6A0CFE74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Feb 2018, increase TB case detection rate from 40% to 60%. (Other: TB prevention and control project, #122)</w:t>
            </w:r>
          </w:p>
        </w:tc>
        <w:tc>
          <w:tcPr>
            <w:tcW w:w="3600" w:type="dxa"/>
          </w:tcPr>
          <w:p w14:paraId="0F8AAAD2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TB case detection rate remained 40% (did not meet the desired measurable result.) </w:t>
            </w:r>
          </w:p>
        </w:tc>
      </w:tr>
      <w:tr w:rsidR="00870838" w:rsidRPr="00AB7680" w14:paraId="3AD027D4" w14:textId="77777777" w:rsidTr="000951D0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70B7585B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4C59C03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Community-based health insurance  </w:t>
            </w:r>
          </w:p>
        </w:tc>
        <w:tc>
          <w:tcPr>
            <w:tcW w:w="3600" w:type="dxa"/>
          </w:tcPr>
          <w:p w14:paraId="6BFEE9C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Oct 2018, increase proportion of households enrolled in CBHI scheme from 8% to 75%. (CBHI project, #156)</w:t>
            </w:r>
          </w:p>
        </w:tc>
        <w:tc>
          <w:tcPr>
            <w:tcW w:w="3600" w:type="dxa"/>
          </w:tcPr>
          <w:p w14:paraId="2D5BEE42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the proportion of households enrolled in CBHI scheme from 8% to 25%. </w:t>
            </w:r>
          </w:p>
        </w:tc>
      </w:tr>
      <w:tr w:rsidR="00870838" w:rsidRPr="00AB7680" w14:paraId="3F4D9876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5E94BF4A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B7B5A7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Disease prevention  </w:t>
            </w:r>
          </w:p>
        </w:tc>
        <w:tc>
          <w:tcPr>
            <w:tcW w:w="3600" w:type="dxa"/>
          </w:tcPr>
          <w:p w14:paraId="164A663E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July 2018, decrease the prevalence malaria positivity rate from 2.8% to 0.8%. (Other: malaria prevention and control project, #147)</w:t>
            </w:r>
          </w:p>
        </w:tc>
        <w:tc>
          <w:tcPr>
            <w:tcW w:w="3600" w:type="dxa"/>
          </w:tcPr>
          <w:p w14:paraId="3F41184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Decreased the prevalence malaria positivity from 2.8% to 0.7%. </w:t>
            </w:r>
          </w:p>
        </w:tc>
      </w:tr>
      <w:tr w:rsidR="00870838" w:rsidRPr="00AB7680" w14:paraId="48384D94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14:paraId="1EDECEF2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SNNP</w:t>
            </w:r>
          </w:p>
        </w:tc>
        <w:tc>
          <w:tcPr>
            <w:tcW w:w="1170" w:type="dxa"/>
          </w:tcPr>
          <w:p w14:paraId="64B5D8DA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Family Planning </w:t>
            </w:r>
          </w:p>
        </w:tc>
        <w:tc>
          <w:tcPr>
            <w:tcW w:w="3600" w:type="dxa"/>
          </w:tcPr>
          <w:p w14:paraId="2F4D1337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December 2017, increase modern contraceptive acceptance rate from 34% to 60%. (FP project, #215)</w:t>
            </w:r>
          </w:p>
        </w:tc>
        <w:tc>
          <w:tcPr>
            <w:tcW w:w="3600" w:type="dxa"/>
          </w:tcPr>
          <w:p w14:paraId="3AE6EDA9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modern contraceptive acceptance rate from 34% to 67%. </w:t>
            </w:r>
          </w:p>
        </w:tc>
      </w:tr>
      <w:tr w:rsidR="00870838" w:rsidRPr="00AB7680" w14:paraId="3CF6A762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14:paraId="3304F0CC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F968744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Community-based health insurance  </w:t>
            </w:r>
          </w:p>
        </w:tc>
        <w:tc>
          <w:tcPr>
            <w:tcW w:w="3600" w:type="dxa"/>
          </w:tcPr>
          <w:p w14:paraId="2CD02EA5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June 2018, increase the proportion of households enrolled in CBHI scheme from 15% to 100%. (CBHI project, #241)</w:t>
            </w:r>
          </w:p>
        </w:tc>
        <w:tc>
          <w:tcPr>
            <w:tcW w:w="3600" w:type="dxa"/>
          </w:tcPr>
          <w:p w14:paraId="499A3BD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the proportion of households enrolled in CBHI scheme from 15% to 64%. </w:t>
            </w:r>
          </w:p>
        </w:tc>
      </w:tr>
      <w:tr w:rsidR="00870838" w:rsidRPr="00AB7680" w14:paraId="62F94F1D" w14:textId="77777777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14:paraId="5D80333E" w14:textId="77777777"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Tigray</w:t>
            </w:r>
          </w:p>
        </w:tc>
        <w:tc>
          <w:tcPr>
            <w:tcW w:w="1170" w:type="dxa"/>
          </w:tcPr>
          <w:p w14:paraId="1A3AA6CB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</w:p>
          <w:p w14:paraId="571D8858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Hospital Reform</w:t>
            </w:r>
          </w:p>
        </w:tc>
        <w:tc>
          <w:tcPr>
            <w:tcW w:w="3600" w:type="dxa"/>
          </w:tcPr>
          <w:p w14:paraId="23048691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By end of Feb 2018, increase hospital services transformation guidelines standards met from </w:t>
            </w: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>30% to 70%. (HSS project, #93)</w:t>
            </w:r>
          </w:p>
        </w:tc>
        <w:tc>
          <w:tcPr>
            <w:tcW w:w="3600" w:type="dxa"/>
          </w:tcPr>
          <w:p w14:paraId="7FAB200B" w14:textId="77777777"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 xml:space="preserve">Increased hospital services transformation guidelines standards met from 30% to 69%. </w:t>
            </w:r>
          </w:p>
        </w:tc>
      </w:tr>
    </w:tbl>
    <w:p w14:paraId="115CF4F6" w14:textId="77777777" w:rsidR="00870838" w:rsidRPr="00AB7680" w:rsidRDefault="00870838" w:rsidP="00870838">
      <w:pPr>
        <w:pStyle w:val="BodyText"/>
        <w:ind w:left="0"/>
        <w:rPr>
          <w:rFonts w:ascii="Gill Sans MT" w:hAnsi="Gill Sans MT"/>
          <w:sz w:val="22"/>
          <w:szCs w:val="22"/>
        </w:rPr>
      </w:pPr>
    </w:p>
    <w:p w14:paraId="362E4AA6" w14:textId="77777777" w:rsidR="009735C3" w:rsidRDefault="009735C3"/>
    <w:sectPr w:rsidR="00973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38"/>
    <w:rsid w:val="00040A3E"/>
    <w:rsid w:val="00870838"/>
    <w:rsid w:val="00972222"/>
    <w:rsid w:val="009735C3"/>
    <w:rsid w:val="009A022F"/>
    <w:rsid w:val="00A64CC8"/>
    <w:rsid w:val="00AE404D"/>
    <w:rsid w:val="00F4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1E0A6"/>
  <w15:chartTrackingRefBased/>
  <w15:docId w15:val="{495B8E26-9E25-4B81-81E8-DF7E35C6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38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870838"/>
    <w:pPr>
      <w:widowControl w:val="0"/>
      <w:autoSpaceDE w:val="0"/>
      <w:autoSpaceDN w:val="0"/>
      <w:adjustRightInd w:val="0"/>
      <w:spacing w:before="1" w:after="0" w:line="240" w:lineRule="auto"/>
      <w:ind w:left="113"/>
    </w:pPr>
    <w:rPr>
      <w:rFonts w:ascii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70838"/>
    <w:rPr>
      <w:rFonts w:ascii="Times New Roman" w:eastAsiaTheme="minorEastAsia" w:hAnsi="Times New Roman" w:cs="Times New Roman"/>
      <w:sz w:val="19"/>
      <w:szCs w:val="19"/>
    </w:rPr>
  </w:style>
  <w:style w:type="table" w:customStyle="1" w:styleId="GridTable1Light1">
    <w:name w:val="Grid Table 1 Light1"/>
    <w:basedOn w:val="TableNormal"/>
    <w:uiPriority w:val="46"/>
    <w:rsid w:val="00870838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04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Mesele Damte</dc:creator>
  <cp:keywords/>
  <dc:description/>
  <cp:lastModifiedBy>Mesele Damte</cp:lastModifiedBy>
  <cp:revision>3</cp:revision>
  <dcterms:created xsi:type="dcterms:W3CDTF">2020-08-19T13:07:00Z</dcterms:created>
  <dcterms:modified xsi:type="dcterms:W3CDTF">2021-01-29T07:24:00Z</dcterms:modified>
</cp:coreProperties>
</file>