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2FD8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en-US" w:eastAsia="zh-CN" w:bidi="ar"/>
        </w:rPr>
        <w:t>Intraoperative hypotension and postoperative risks in non-cardiac surgery: A meta-analysis</w:t>
      </w:r>
    </w:p>
    <w:p w14:paraId="07F5526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 xml:space="preserve">Guanchao Qin,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; Ming-cheng Du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; Ke-xin Yi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 xml:space="preserve">; Yuan Gong,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PhD</w:t>
      </w: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 xml:space="preserve">* </w:t>
      </w:r>
    </w:p>
    <w:p w14:paraId="20298AE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0342D6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Institute of Anesthesiology and Critical Care Medicine, China Three Gorges University &amp; Yichang Central People’s Hospital, Yichang, People’s Republic of China</w:t>
      </w:r>
    </w:p>
    <w:p w14:paraId="240C8C8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4384E4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 xml:space="preserve">*Corresponding Author: Yuan Gong </w:t>
      </w:r>
    </w:p>
    <w:p w14:paraId="367D657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Institute of Anesthesiology and Critical Care Medicine</w:t>
      </w:r>
    </w:p>
    <w:p w14:paraId="38A642F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China Three Gorges University &amp; Yichang Central People’s Hospital, Yichang, Hubei 443000, People’s Republic of China</w:t>
      </w:r>
    </w:p>
    <w:p w14:paraId="3446E58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Phone number: +86 0717-6860230</w:t>
      </w:r>
    </w:p>
    <w:p w14:paraId="3CB5ED1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 xml:space="preserve">Email: gy-yc@163.com </w:t>
      </w:r>
    </w:p>
    <w:p w14:paraId="65A5B0B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Calibri" w:cs="Times New Roman"/>
          <w:kern w:val="0"/>
          <w:sz w:val="24"/>
          <w:szCs w:val="24"/>
          <w:lang w:val="en-US" w:eastAsia="zh-CN" w:bidi="ar"/>
        </w:rPr>
        <w:t># These authors contributed equally to the work.</w:t>
      </w:r>
    </w:p>
    <w:p w14:paraId="32D1E922">
      <w:pPr>
        <w:rPr>
          <w:rFonts w:hint="eastAsia"/>
          <w:b/>
          <w:bCs/>
          <w:sz w:val="32"/>
          <w:szCs w:val="40"/>
        </w:rPr>
      </w:pPr>
      <w:bookmarkStart w:id="0" w:name="_GoBack"/>
      <w:bookmarkEnd w:id="0"/>
    </w:p>
    <w:p w14:paraId="333C8F48">
      <w:pPr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</w:rPr>
        <w:t>Retrieval formula</w:t>
      </w:r>
      <w:r>
        <w:rPr>
          <w:rFonts w:hint="eastAsia"/>
          <w:b/>
          <w:bCs/>
          <w:sz w:val="32"/>
          <w:szCs w:val="40"/>
          <w:lang w:val="en-US" w:eastAsia="zh-CN"/>
        </w:rPr>
        <w:t xml:space="preserve"> </w:t>
      </w:r>
      <w:r>
        <w:rPr>
          <w:rFonts w:hint="eastAsia"/>
          <w:b/>
          <w:bCs/>
          <w:sz w:val="32"/>
          <w:szCs w:val="40"/>
          <w:lang w:eastAsia="zh-CN"/>
        </w:rPr>
        <w:t>：</w:t>
      </w:r>
    </w:p>
    <w:p w14:paraId="1B9C741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#1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hypotension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low blood pressure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slight pressure</w:t>
      </w:r>
      <w:r>
        <w:rPr>
          <w:rFonts w:hint="default"/>
          <w:lang w:val="en-US" w:eastAsia="zh-CN"/>
        </w:rPr>
        <w:t>”</w:t>
      </w:r>
    </w:p>
    <w:p w14:paraId="58D652C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#2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intraoperative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intra-operative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intraoperation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perioerative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operation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surgery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surgical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procedure</w:t>
      </w:r>
      <w:r>
        <w:rPr>
          <w:rFonts w:hint="default"/>
          <w:lang w:val="en-US" w:eastAsia="zh-CN"/>
        </w:rPr>
        <w:t>”</w:t>
      </w:r>
    </w:p>
    <w:p w14:paraId="692CCC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#3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target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targets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targetting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targeted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management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goal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mark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purpose</w:t>
      </w:r>
      <w:r>
        <w:rPr>
          <w:rFonts w:hint="default"/>
          <w:lang w:val="en-US" w:eastAsia="zh-CN"/>
        </w:rPr>
        <w:t>”</w:t>
      </w:r>
    </w:p>
    <w:p w14:paraId="055FFC8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#4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complication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“neopathy”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adverse effect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“myocardial injury”</w:t>
      </w:r>
      <w:r>
        <w:rPr>
          <w:rFonts w:hint="eastAsia"/>
          <w:lang w:val="en-US" w:eastAsia="zh-CN"/>
        </w:rPr>
        <w:t xml:space="preserve"> or</w:t>
      </w:r>
      <w:r>
        <w:rPr>
          <w:rFonts w:hint="default"/>
          <w:lang w:val="en-US" w:eastAsia="zh-CN"/>
        </w:rPr>
        <w:t xml:space="preserve"> “acute renal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injury”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kidney injury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</w:t>
      </w:r>
      <w:r>
        <w:rPr>
          <w:rFonts w:hint="default"/>
          <w:lang w:val="en-US" w:eastAsia="zh-CN"/>
        </w:rPr>
        <w:t xml:space="preserve"> “death”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mortality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delirium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cognitive dysfunction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stroke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end-organ injury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mortality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“atrial fibrillation”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“myocardial infarction”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“transfusion”</w:t>
      </w:r>
      <w:r>
        <w:rPr>
          <w:rFonts w:hint="eastAsia"/>
          <w:lang w:val="en-US" w:eastAsia="zh-CN"/>
        </w:rPr>
        <w:t xml:space="preserve"> or </w:t>
      </w:r>
      <w:r>
        <w:rPr>
          <w:rFonts w:hint="default"/>
          <w:lang w:val="en-US" w:eastAsia="zh-CN"/>
        </w:rPr>
        <w:t>“mechanical ventilation”</w:t>
      </w:r>
    </w:p>
    <w:p w14:paraId="4E38AB56"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lang w:val="en-US" w:eastAsia="zh-CN"/>
        </w:rPr>
        <w:t>#5 #1 and #2 and #3 and #4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7ABB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5AB1F4CE">
            <w:pPr>
              <w:jc w:val="left"/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</w:pPr>
          </w:p>
          <w:p w14:paraId="6C8AE3A2">
            <w:pPr>
              <w:jc w:val="left"/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</w:pPr>
          </w:p>
          <w:p w14:paraId="2A301AA3">
            <w:pPr>
              <w:jc w:val="left"/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Forest plots for the comparison of the primary and secondary outcomes（</w:t>
            </w:r>
            <w:r>
              <w:rPr>
                <w:rFonts w:hint="eastAsia"/>
                <w:b w:val="0"/>
                <w:color w:val="000000"/>
                <w:sz w:val="21"/>
                <w:szCs w:val="24"/>
                <w:lang w:val="en-US" w:eastAsia="zh-CN"/>
              </w:rPr>
              <w:t>Supplementary Forest plot S1-S7b</w:t>
            </w: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）</w:t>
            </w:r>
          </w:p>
          <w:p w14:paraId="49C48AB2">
            <w:pPr>
              <w:jc w:val="left"/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0500" cy="2350135"/>
                  <wp:effectExtent l="0" t="0" r="2540" b="1206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35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90C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D81B3">
            <w:pPr>
              <w:rPr>
                <w:rFonts w:hint="default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S1：Comparison of the primary composite outcomes for the major postoperative complications.</w:t>
            </w:r>
          </w:p>
        </w:tc>
      </w:tr>
      <w:tr w14:paraId="56500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3DB2D4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4310" cy="2286635"/>
                  <wp:effectExtent l="0" t="0" r="13970" b="1460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28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C35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BCE148">
            <w:pPr>
              <w:rPr>
                <w:rFonts w:hint="default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S1a：Comparison of the primary composite outcomes for the major postoperative complications after  a larger sample study (10)was excluded.</w:t>
            </w:r>
          </w:p>
        </w:tc>
      </w:tr>
      <w:tr w14:paraId="54E0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D6D62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0500" cy="2220595"/>
                  <wp:effectExtent l="0" t="0" r="2540" b="444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21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357F36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S1b：Comparison of the primary composite outcomes for the major postoperative complications after two smaller sample study (11,14)was excluded.</w:t>
            </w:r>
          </w:p>
        </w:tc>
      </w:tr>
      <w:tr w14:paraId="6B86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95604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0500" cy="1875790"/>
                  <wp:effectExtent l="0" t="0" r="2540" b="1397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187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59F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382A8A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S2：Comparison of Acute renal function injury postoperative.</w:t>
            </w:r>
          </w:p>
        </w:tc>
      </w:tr>
      <w:tr w14:paraId="27738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A38061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69865" cy="2331085"/>
                  <wp:effectExtent l="0" t="0" r="3175" b="63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233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716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809A1">
            <w:pPr>
              <w:rPr>
                <w:rFonts w:hint="default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S3：Comparison of postoperative acute myocardial injury.</w:t>
            </w:r>
          </w:p>
        </w:tc>
      </w:tr>
      <w:tr w14:paraId="479C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26463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4310" cy="2215515"/>
                  <wp:effectExtent l="0" t="0" r="13970" b="952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215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1AB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C80D3D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S3a：Comparison of postoperative acute myocardial injury after a larger sample study (10)was excluded.</w:t>
            </w:r>
          </w:p>
        </w:tc>
      </w:tr>
      <w:tr w14:paraId="6846C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46E6F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2405" cy="2049145"/>
                  <wp:effectExtent l="0" t="0" r="635" b="825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0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EA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211C3C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S4：Comparison of postoperative cognitive function changes</w:t>
            </w:r>
          </w:p>
        </w:tc>
      </w:tr>
      <w:tr w14:paraId="7291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72460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2405" cy="2099310"/>
                  <wp:effectExtent l="0" t="0" r="635" b="381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09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0D02BC">
            <w:pPr>
              <w:rPr>
                <w:rFonts w:hint="default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S5：Comparison of the incidence of postoperative infection.</w:t>
            </w:r>
          </w:p>
        </w:tc>
      </w:tr>
      <w:tr w14:paraId="3E53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D1CF9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0500" cy="2269490"/>
                  <wp:effectExtent l="0" t="0" r="2540" b="127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269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077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FF69B">
            <w:pPr>
              <w:rPr>
                <w:rFonts w:hint="default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S5a：Comparison of the incidence of postoperative infection after a larger sample study (10)was excluded.</w:t>
            </w:r>
          </w:p>
        </w:tc>
      </w:tr>
      <w:tr w14:paraId="4FAA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7D36D4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0500" cy="2338070"/>
                  <wp:effectExtent l="0" t="0" r="2540" b="889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33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FFF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DE0F0">
            <w:pPr>
              <w:rPr>
                <w:rFonts w:hint="default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S5b：Comparison of the incidence of postoperative infection after a smaller sample study (11)was excluded.</w:t>
            </w:r>
          </w:p>
        </w:tc>
      </w:tr>
      <w:tr w14:paraId="11FA5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1E1EC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0500" cy="2382520"/>
                  <wp:effectExtent l="0" t="0" r="2540" b="1016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3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207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2C219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S6：Comparison of all-cause mortality at 30 days after surgery</w:t>
            </w:r>
          </w:p>
        </w:tc>
      </w:tr>
      <w:tr w14:paraId="4D1A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4F53E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4310" cy="2162810"/>
                  <wp:effectExtent l="0" t="0" r="13970" b="127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068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60890A">
            <w:pPr>
              <w:rPr>
                <w:rFonts w:hint="default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S6a：Comparison of all-cause mortality at 30 days after surgery after a larger sample study (10)was excluded.</w:t>
            </w:r>
          </w:p>
        </w:tc>
      </w:tr>
      <w:tr w14:paraId="30151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85E1E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0500" cy="2346325"/>
                  <wp:effectExtent l="0" t="0" r="2540" b="63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029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D6716">
            <w:pPr>
              <w:rPr>
                <w:rFonts w:hint="default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Forest plot S7：Comparison of hospital stay length .</w:t>
            </w:r>
          </w:p>
        </w:tc>
      </w:tr>
      <w:tr w14:paraId="6C38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6AD11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68595" cy="2192020"/>
                  <wp:effectExtent l="0" t="0" r="4445" b="254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219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86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03E181">
            <w:pPr>
              <w:rPr>
                <w:rFonts w:hint="default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 xml:space="preserve">Supplementary Forest plot S7a：Comparison of hospital stay length after a larger sample study (10)was excluded. </w:t>
            </w:r>
          </w:p>
        </w:tc>
      </w:tr>
      <w:tr w14:paraId="35C8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7B92F">
            <w:pPr>
              <w:rPr>
                <w:rFonts w:hint="eastAsia"/>
                <w:b w:val="0"/>
                <w:bCs/>
                <w:color w:val="000000"/>
                <w:sz w:val="15"/>
                <w:szCs w:val="18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4310" cy="2270760"/>
                  <wp:effectExtent l="0" t="0" r="1397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27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53D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4FB722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 xml:space="preserve">Supplementary Forest plot S7b：Comparison of hospital stay length after a smaller sample study (11)was excluded. </w:t>
            </w:r>
          </w:p>
          <w:p w14:paraId="4313157C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</w:p>
        </w:tc>
      </w:tr>
    </w:tbl>
    <w:p w14:paraId="087FCB58">
      <w:pPr>
        <w:rPr>
          <w:rFonts w:hint="eastAsia"/>
          <w:b/>
          <w:bCs/>
          <w:sz w:val="32"/>
          <w:szCs w:val="40"/>
          <w:lang w:val="en-US" w:eastAsia="zh-CN"/>
        </w:rPr>
      </w:pPr>
    </w:p>
    <w:p w14:paraId="3A45AD79">
      <w:pPr>
        <w:rPr>
          <w:rFonts w:hint="eastAsia"/>
          <w:b/>
          <w:bCs/>
          <w:sz w:val="32"/>
          <w:szCs w:val="40"/>
          <w:lang w:val="en-US" w:eastAsia="zh-CN"/>
        </w:rPr>
      </w:pPr>
    </w:p>
    <w:p w14:paraId="3DEF9ADD">
      <w:p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Funnel plots assessing the reporting bias for each comparison</w:t>
      </w:r>
    </w:p>
    <w:p w14:paraId="5CF51B70">
      <w:pPr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 w:val="0"/>
          <w:color w:val="000000"/>
          <w:sz w:val="20"/>
          <w:szCs w:val="22"/>
          <w:lang w:val="en-US" w:eastAsia="zh-CN"/>
        </w:rPr>
        <w:t>Supplementary Funnel plot S1-S7：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1B2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289E7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67960" cy="3488055"/>
                  <wp:effectExtent l="0" t="0" r="5080" b="190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960" cy="348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B3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04EE6">
            <w:pPr>
              <w:rPr>
                <w:rFonts w:hint="default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Funnel plot S1：the reporting bias assessment for comparison of the primary composite outcomes for the major postoperative complications.</w:t>
            </w:r>
          </w:p>
        </w:tc>
      </w:tr>
      <w:tr w14:paraId="2D03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B7A65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0500" cy="3704590"/>
                  <wp:effectExtent l="0" t="0" r="2540" b="1397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370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64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3A7F5">
            <w:pPr>
              <w:rPr>
                <w:rFonts w:hint="default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Funnel plot S2：the reporting bias assessment for comparison of acute postoperative kidney injury.</w:t>
            </w:r>
          </w:p>
        </w:tc>
      </w:tr>
      <w:tr w14:paraId="2C87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23FB53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0500" cy="3537585"/>
                  <wp:effectExtent l="0" t="0" r="2540" b="1333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353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34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E16BB8">
            <w:pPr>
              <w:rPr>
                <w:rFonts w:hint="default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Funnel plot S3：the reporting bias assessment for comparison of acute postoperative myocardial injury</w:t>
            </w:r>
          </w:p>
        </w:tc>
      </w:tr>
      <w:tr w14:paraId="7F90B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7637E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4310" cy="3618865"/>
                  <wp:effectExtent l="0" t="0" r="13970" b="825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1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0A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6AE4B">
            <w:pPr>
              <w:rPr>
                <w:rFonts w:hint="default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Funnel plot S4：the reporting bias assessment for comparison of acute postoperative state of consciousness changes</w:t>
            </w:r>
          </w:p>
        </w:tc>
      </w:tr>
      <w:tr w14:paraId="605E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C9912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68595" cy="3348990"/>
                  <wp:effectExtent l="0" t="0" r="4445" b="381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CB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36F20">
            <w:pPr>
              <w:rPr>
                <w:rFonts w:hint="default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Funnel plot S5：the reporting bias assessment for comparison of the incidence of postoperative infection.</w:t>
            </w:r>
          </w:p>
        </w:tc>
      </w:tr>
      <w:tr w14:paraId="2B1FF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BA52E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2405" cy="3451225"/>
                  <wp:effectExtent l="0" t="0" r="635" b="825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345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E83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E24A91">
            <w:pP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Funnel plot S6：the reporting bias assessment for comparison of all-cause mortality at 30 days after surgery</w:t>
            </w:r>
          </w:p>
          <w:p w14:paraId="1C4CB95C">
            <w:pPr>
              <w:rPr>
                <w:rFonts w:hint="default"/>
                <w:b w:val="0"/>
                <w:color w:val="000000"/>
                <w:sz w:val="15"/>
                <w:szCs w:val="18"/>
                <w:lang w:val="en-US" w:eastAsia="zh-CN"/>
              </w:rPr>
            </w:pPr>
          </w:p>
        </w:tc>
      </w:tr>
      <w:tr w14:paraId="0345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F5887">
            <w:pPr>
              <w:rPr>
                <w:rFonts w:hint="eastAsia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b w:val="0"/>
                <w:color w:val="000000"/>
              </w:rPr>
              <w:drawing>
                <wp:inline distT="0" distB="0" distL="114300" distR="114300">
                  <wp:extent cx="5272405" cy="3348990"/>
                  <wp:effectExtent l="0" t="0" r="635" b="381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334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34F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C7E99">
            <w:pPr>
              <w:rPr>
                <w:rFonts w:hint="default"/>
                <w:b w:val="0"/>
                <w:bCs/>
                <w:color w:val="000000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sz w:val="15"/>
                <w:szCs w:val="18"/>
                <w:lang w:val="en-US" w:eastAsia="zh-CN"/>
              </w:rPr>
              <w:t>Supplementary Funnel plot S7：the reporting bias assessment for comparison of length of hospitalization.</w:t>
            </w:r>
          </w:p>
        </w:tc>
      </w:tr>
    </w:tbl>
    <w:p w14:paraId="04006652">
      <w:pPr>
        <w:rPr>
          <w:rFonts w:hint="eastAsia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ath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kNzk3OTllNTMwZjdkMDE5MmM5YzQxMzJhMDA2OWUifQ=="/>
  </w:docVars>
  <w:rsids>
    <w:rsidRoot w:val="00000000"/>
    <w:rsid w:val="080A7459"/>
    <w:rsid w:val="11280E7A"/>
    <w:rsid w:val="2DB9602B"/>
    <w:rsid w:val="348D3777"/>
    <w:rsid w:val="3F544A51"/>
    <w:rsid w:val="44EA4B14"/>
    <w:rsid w:val="45830E35"/>
    <w:rsid w:val="52595FA5"/>
    <w:rsid w:val="545509EE"/>
    <w:rsid w:val="54EE259A"/>
    <w:rsid w:val="7C86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581</Words>
  <Characters>3536</Characters>
  <Lines>0</Lines>
  <Paragraphs>0</Paragraphs>
  <TotalTime>51</TotalTime>
  <ScaleCrop>false</ScaleCrop>
  <LinksUpToDate>false</LinksUpToDate>
  <CharactersWithSpaces>4030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2024-09-09T08:07:00Z</dcterms:created>
  <dc:creator>12189</dc:creator>
  <cp:lastModifiedBy>龚园</cp:lastModifiedBy>
  <dcterms:modified xsi:type="dcterms:W3CDTF">2024-10-28T07:21:00Z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03971D95220A403788B088144D4AA124_13</vt:lpwstr>
  </property>
</Properties>
</file>