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102" w:rsidRDefault="00CD6102">
      <w:r w:rsidRPr="00CD6102">
        <w:drawing>
          <wp:inline distT="0" distB="0" distL="0" distR="0">
            <wp:extent cx="5371211" cy="4026310"/>
            <wp:effectExtent l="19050" t="0" r="889" b="0"/>
            <wp:docPr id="37" name="Picture 1" descr="C:\Users\HP\Desktop\tabernaemontana-divaricata-has-white-flower-petals-green-leaves-shiny-lush-201947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tabernaemontana-divaricata-has-white-flower-petals-green-leaves-shiny-lush-20194773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557" cy="4029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102" w:rsidRPr="0035789A" w:rsidRDefault="00CD6102" w:rsidP="00CD610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2</w:t>
      </w:r>
      <w:r w:rsidRPr="0035789A">
        <w:rPr>
          <w:rFonts w:ascii="Times New Roman" w:eastAsia="Times New Roman" w:hAnsi="Times New Roman" w:cs="Times New Roman"/>
          <w:b/>
          <w:sz w:val="24"/>
          <w:szCs w:val="24"/>
        </w:rPr>
        <w:t>.1</w:t>
      </w:r>
      <w:r w:rsidRPr="0035789A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Flowering plant of </w:t>
      </w:r>
      <w:r w:rsidRPr="00376988">
        <w:rPr>
          <w:rFonts w:ascii="Times New Roman" w:eastAsia="Times New Roman" w:hAnsi="Times New Roman" w:cs="Times New Roman"/>
          <w:b/>
          <w:i/>
          <w:sz w:val="24"/>
          <w:szCs w:val="24"/>
        </w:rPr>
        <w:t>Tabernaemontana divaricata</w:t>
      </w:r>
    </w:p>
    <w:p w:rsidR="00B06408" w:rsidRDefault="00B06408" w:rsidP="00CD6102">
      <w:pPr>
        <w:ind w:firstLine="720"/>
      </w:pPr>
    </w:p>
    <w:p w:rsidR="00CD6102" w:rsidRDefault="00CD6102" w:rsidP="00CD6102">
      <w:pPr>
        <w:ind w:firstLine="720"/>
      </w:pPr>
      <w:r w:rsidRPr="00CD6102">
        <w:lastRenderedPageBreak/>
        <w:drawing>
          <wp:inline distT="0" distB="0" distL="0" distR="0">
            <wp:extent cx="4105275" cy="3952875"/>
            <wp:effectExtent l="19050" t="0" r="9525" b="0"/>
            <wp:docPr id="48" name="Picture 1" descr="C:\Users\owner's\Desktop\photo_2023-04-28_15-07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's\Desktop\photo_2023-04-28_15-07-3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949" cy="3973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102" w:rsidRDefault="00CD6102" w:rsidP="00CD6102"/>
    <w:p w:rsidR="00CD6102" w:rsidRPr="00C9527D" w:rsidRDefault="00CD6102" w:rsidP="00CD610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  <w:r w:rsidRPr="00C9527D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igure 5.2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Soxhlet extraction process</w:t>
      </w:r>
    </w:p>
    <w:p w:rsidR="00CD6102" w:rsidRDefault="00CD6102" w:rsidP="00CD6102">
      <w:pPr>
        <w:tabs>
          <w:tab w:val="left" w:pos="1103"/>
        </w:tabs>
      </w:pPr>
    </w:p>
    <w:p w:rsidR="00CD6102" w:rsidRDefault="00CD6102" w:rsidP="00CD6102">
      <w:pPr>
        <w:tabs>
          <w:tab w:val="left" w:pos="1103"/>
        </w:tabs>
      </w:pPr>
    </w:p>
    <w:p w:rsidR="00CD6102" w:rsidRDefault="00CD6102" w:rsidP="00CD6102">
      <w:pPr>
        <w:tabs>
          <w:tab w:val="left" w:pos="1103"/>
        </w:tabs>
      </w:pPr>
      <w:r w:rsidRPr="00CD6102">
        <w:drawing>
          <wp:inline distT="0" distB="0" distL="0" distR="0">
            <wp:extent cx="4572000" cy="2743200"/>
            <wp:effectExtent l="0" t="0" r="0" b="0"/>
            <wp:docPr id="50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</w:t>
      </w:r>
      <w:r w:rsidRPr="0049190D">
        <w:rPr>
          <w:rFonts w:ascii="Times New Roman" w:hAnsi="Times New Roman" w:cs="Times New Roman"/>
          <w:b/>
          <w:sz w:val="24"/>
          <w:szCs w:val="24"/>
        </w:rPr>
        <w:t>Figure 6.1</w:t>
      </w:r>
      <w:r w:rsidRPr="0049190D">
        <w:rPr>
          <w:rFonts w:ascii="Times New Roman" w:hAnsi="Times New Roman" w:cs="Times New Roman"/>
          <w:b/>
          <w:sz w:val="24"/>
          <w:szCs w:val="24"/>
        </w:rPr>
        <w:tab/>
        <w:t>Extraction yield</w:t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Pr="0049190D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102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830784" cy="2370430"/>
            <wp:effectExtent l="19050" t="0" r="17566" b="0"/>
            <wp:docPr id="51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D6102" w:rsidRDefault="00CD6102" w:rsidP="00CD61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570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Figure 6.2</w:t>
      </w:r>
      <w:r w:rsidRPr="000B07C1">
        <w:rPr>
          <w:rFonts w:ascii="Times New Roman" w:hAnsi="Times New Roman" w:cs="Times New Roman"/>
          <w:b/>
          <w:sz w:val="24"/>
          <w:szCs w:val="24"/>
        </w:rPr>
        <w:tab/>
        <w:t>Calibration curve of gallic acid</w:t>
      </w:r>
    </w:p>
    <w:p w:rsidR="00CD6102" w:rsidRDefault="00CD6102" w:rsidP="00CD6102">
      <w:pPr>
        <w:tabs>
          <w:tab w:val="left" w:pos="1103"/>
        </w:tabs>
      </w:pPr>
    </w:p>
    <w:p w:rsidR="00CD6102" w:rsidRDefault="00CD6102" w:rsidP="00CD6102">
      <w:pPr>
        <w:tabs>
          <w:tab w:val="left" w:pos="1103"/>
        </w:tabs>
      </w:pPr>
    </w:p>
    <w:p w:rsidR="00CD6102" w:rsidRDefault="00CD6102" w:rsidP="00CD6102">
      <w:pPr>
        <w:tabs>
          <w:tab w:val="left" w:pos="1103"/>
        </w:tabs>
      </w:pPr>
      <w:r w:rsidRPr="00CD6102">
        <w:drawing>
          <wp:inline distT="0" distB="0" distL="0" distR="0">
            <wp:extent cx="5046345" cy="2872105"/>
            <wp:effectExtent l="0" t="0" r="1905" b="4445"/>
            <wp:docPr id="5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6345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102" w:rsidRDefault="00CD6102" w:rsidP="00CD6102">
      <w:pPr>
        <w:tabs>
          <w:tab w:val="left" w:pos="1103"/>
        </w:tabs>
      </w:pPr>
    </w:p>
    <w:p w:rsidR="00CD6102" w:rsidRDefault="00CD6102" w:rsidP="00CD6102">
      <w:pPr>
        <w:tabs>
          <w:tab w:val="left" w:pos="1103"/>
        </w:tabs>
      </w:pPr>
      <w:r w:rsidRPr="00CD6102">
        <w:lastRenderedPageBreak/>
        <w:drawing>
          <wp:inline distT="0" distB="0" distL="0" distR="0">
            <wp:extent cx="5046345" cy="2044700"/>
            <wp:effectExtent l="0" t="0" r="1905" b="0"/>
            <wp:docPr id="5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63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102" w:rsidRPr="00CD6102" w:rsidRDefault="00CD6102" w:rsidP="00CD6102"/>
    <w:p w:rsidR="00CD6102" w:rsidRPr="00CD6102" w:rsidRDefault="00CD6102" w:rsidP="00CD6102"/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E26ADA">
        <w:rPr>
          <w:rFonts w:ascii="Times New Roman" w:hAnsi="Times New Roman" w:cs="Times New Roman"/>
          <w:b/>
          <w:sz w:val="24"/>
          <w:szCs w:val="24"/>
        </w:rPr>
        <w:t>Figure 6.3b</w:t>
      </w:r>
      <w:r w:rsidRPr="00E26ADA">
        <w:rPr>
          <w:rFonts w:ascii="Times New Roman" w:hAnsi="Times New Roman" w:cs="Times New Roman"/>
          <w:b/>
          <w:sz w:val="24"/>
          <w:szCs w:val="24"/>
        </w:rPr>
        <w:tab/>
        <w:t>HPLC chromatogram of mangiferin</w:t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102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4803648" cy="2707983"/>
            <wp:effectExtent l="0" t="0" r="0" b="0"/>
            <wp:docPr id="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07886" cy="271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102" w:rsidRDefault="00CD6102" w:rsidP="00CD6102">
      <w:pPr>
        <w:tabs>
          <w:tab w:val="left" w:pos="1571"/>
        </w:tabs>
      </w:pP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Pr="003205FA">
        <w:rPr>
          <w:rFonts w:ascii="Times New Roman" w:hAnsi="Times New Roman" w:cs="Times New Roman"/>
          <w:b/>
          <w:sz w:val="24"/>
          <w:szCs w:val="24"/>
        </w:rPr>
        <w:t xml:space="preserve">HPLC chromatogram of </w:t>
      </w:r>
      <w:r w:rsidRPr="003205FA">
        <w:rPr>
          <w:rFonts w:ascii="Times New Roman" w:hAnsi="Times New Roman" w:cs="Times New Roman"/>
          <w:b/>
          <w:i/>
          <w:sz w:val="24"/>
          <w:szCs w:val="24"/>
        </w:rPr>
        <w:t>T. divaricata</w:t>
      </w:r>
      <w:r w:rsidRPr="003205FA">
        <w:rPr>
          <w:rFonts w:ascii="Times New Roman" w:hAnsi="Times New Roman" w:cs="Times New Roman"/>
          <w:b/>
          <w:sz w:val="24"/>
          <w:szCs w:val="24"/>
        </w:rPr>
        <w:t xml:space="preserve"> extract</w:t>
      </w:r>
    </w:p>
    <w:p w:rsidR="00CD6102" w:rsidRDefault="00CD6102" w:rsidP="00CD6102">
      <w:pPr>
        <w:tabs>
          <w:tab w:val="left" w:pos="1571"/>
        </w:tabs>
      </w:pPr>
    </w:p>
    <w:p w:rsidR="00CD6102" w:rsidRDefault="00CD6102" w:rsidP="00CD6102">
      <w:pPr>
        <w:tabs>
          <w:tab w:val="left" w:pos="1571"/>
        </w:tabs>
      </w:pPr>
      <w:r w:rsidRPr="00CD6102">
        <w:lastRenderedPageBreak/>
        <w:drawing>
          <wp:inline distT="0" distB="0" distL="0" distR="0">
            <wp:extent cx="4846320" cy="1981948"/>
            <wp:effectExtent l="0" t="0" r="0" b="0"/>
            <wp:docPr id="5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53062" cy="198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102" w:rsidRDefault="00CD6102" w:rsidP="00CD6102"/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3205FA">
        <w:rPr>
          <w:rFonts w:ascii="Times New Roman" w:hAnsi="Times New Roman" w:cs="Times New Roman"/>
          <w:b/>
          <w:sz w:val="24"/>
          <w:szCs w:val="24"/>
        </w:rPr>
        <w:t>Figure 6.4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3205FA">
        <w:rPr>
          <w:rFonts w:ascii="Times New Roman" w:hAnsi="Times New Roman" w:cs="Times New Roman"/>
          <w:b/>
          <w:sz w:val="24"/>
          <w:szCs w:val="24"/>
        </w:rPr>
        <w:tab/>
        <w:t xml:space="preserve">HPLC chromatogram of </w:t>
      </w:r>
      <w:r>
        <w:rPr>
          <w:rFonts w:ascii="Times New Roman" w:hAnsi="Times New Roman" w:cs="Times New Roman"/>
          <w:b/>
          <w:sz w:val="24"/>
          <w:szCs w:val="24"/>
        </w:rPr>
        <w:t>ß-sitosterol</w:t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102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046345" cy="3017520"/>
            <wp:effectExtent l="0" t="0" r="1905" b="0"/>
            <wp:docPr id="5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6345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5B0E8A">
        <w:rPr>
          <w:rFonts w:ascii="Times New Roman" w:hAnsi="Times New Roman" w:cs="Times New Roman"/>
          <w:b/>
          <w:sz w:val="24"/>
          <w:szCs w:val="24"/>
        </w:rPr>
        <w:t>Figure 6.5a</w:t>
      </w:r>
      <w:r w:rsidRPr="005B0E8A">
        <w:rPr>
          <w:rFonts w:ascii="Times New Roman" w:hAnsi="Times New Roman" w:cs="Times New Roman"/>
          <w:b/>
          <w:sz w:val="24"/>
          <w:szCs w:val="24"/>
        </w:rPr>
        <w:tab/>
        <w:t xml:space="preserve">FTIR spectra of </w:t>
      </w:r>
      <w:r w:rsidRPr="005B0E8A">
        <w:rPr>
          <w:rFonts w:ascii="Times New Roman" w:hAnsi="Times New Roman" w:cs="Times New Roman"/>
          <w:b/>
          <w:i/>
          <w:sz w:val="24"/>
          <w:szCs w:val="24"/>
        </w:rPr>
        <w:t>M. indica</w:t>
      </w:r>
      <w:r w:rsidRPr="005B0E8A">
        <w:rPr>
          <w:rFonts w:ascii="Times New Roman" w:hAnsi="Times New Roman" w:cs="Times New Roman"/>
          <w:b/>
          <w:sz w:val="24"/>
          <w:szCs w:val="24"/>
        </w:rPr>
        <w:t xml:space="preserve"> extract</w:t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102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>
            <wp:extent cx="5046345" cy="3031490"/>
            <wp:effectExtent l="0" t="0" r="1905" b="0"/>
            <wp:docPr id="5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6345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102" w:rsidRPr="005B0E8A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5B0E8A">
        <w:rPr>
          <w:rFonts w:ascii="Times New Roman" w:hAnsi="Times New Roman" w:cs="Times New Roman"/>
          <w:b/>
          <w:sz w:val="24"/>
          <w:szCs w:val="24"/>
        </w:rPr>
        <w:t>Figure 6.5b</w:t>
      </w:r>
      <w:r w:rsidRPr="005B0E8A">
        <w:rPr>
          <w:rFonts w:ascii="Times New Roman" w:hAnsi="Times New Roman" w:cs="Times New Roman"/>
          <w:b/>
          <w:sz w:val="24"/>
          <w:szCs w:val="24"/>
        </w:rPr>
        <w:tab/>
        <w:t xml:space="preserve">FTIR spectra of </w:t>
      </w:r>
      <w:r w:rsidRPr="005B0E8A">
        <w:rPr>
          <w:rFonts w:ascii="Times New Roman" w:hAnsi="Times New Roman" w:cs="Times New Roman"/>
          <w:b/>
          <w:i/>
          <w:sz w:val="24"/>
          <w:szCs w:val="24"/>
        </w:rPr>
        <w:t>T. divaricata</w:t>
      </w:r>
      <w:r w:rsidRPr="005B0E8A">
        <w:rPr>
          <w:rFonts w:ascii="Times New Roman" w:hAnsi="Times New Roman" w:cs="Times New Roman"/>
          <w:b/>
          <w:sz w:val="24"/>
          <w:szCs w:val="24"/>
        </w:rPr>
        <w:t xml:space="preserve"> extracts</w:t>
      </w:r>
    </w:p>
    <w:p w:rsidR="00CD6102" w:rsidRDefault="00CD6102" w:rsidP="00CD6102">
      <w:pPr>
        <w:tabs>
          <w:tab w:val="left" w:pos="1627"/>
        </w:tabs>
      </w:pPr>
    </w:p>
    <w:p w:rsidR="00CD6102" w:rsidRDefault="00CD6102" w:rsidP="00CD6102">
      <w:pPr>
        <w:tabs>
          <w:tab w:val="left" w:pos="1627"/>
        </w:tabs>
      </w:pPr>
      <w:r w:rsidRPr="00CD6102">
        <w:drawing>
          <wp:inline distT="0" distB="0" distL="0" distR="0">
            <wp:extent cx="5943600" cy="2321529"/>
            <wp:effectExtent l="19050" t="0" r="19050" b="2571"/>
            <wp:docPr id="58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D6102" w:rsidRDefault="00CD6102" w:rsidP="00CD6102"/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Pr="001A09AB">
        <w:rPr>
          <w:rFonts w:ascii="Times New Roman" w:hAnsi="Times New Roman" w:cs="Times New Roman"/>
          <w:b/>
          <w:sz w:val="24"/>
          <w:szCs w:val="24"/>
        </w:rPr>
        <w:t>Figure 6.6</w:t>
      </w:r>
      <w:r w:rsidRPr="001A09AB">
        <w:rPr>
          <w:rFonts w:ascii="Times New Roman" w:hAnsi="Times New Roman" w:cs="Times New Roman"/>
          <w:b/>
          <w:sz w:val="24"/>
          <w:szCs w:val="24"/>
        </w:rPr>
        <w:tab/>
        <w:t>%DPPH inhibition by mixed and individual extracts</w:t>
      </w:r>
    </w:p>
    <w:p w:rsidR="00CD6102" w:rsidRDefault="00CD6102" w:rsidP="00CD6102">
      <w:pPr>
        <w:tabs>
          <w:tab w:val="left" w:pos="1833"/>
        </w:tabs>
      </w:pPr>
      <w:r w:rsidRPr="00CD6102">
        <w:lastRenderedPageBreak/>
        <w:drawing>
          <wp:inline distT="0" distB="0" distL="0" distR="0">
            <wp:extent cx="5867400" cy="2790825"/>
            <wp:effectExtent l="19050" t="0" r="19050" b="0"/>
            <wp:docPr id="59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CD6102" w:rsidRDefault="00CD6102" w:rsidP="00CD6102"/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  <w:t xml:space="preserve">                          </w:t>
      </w:r>
      <w:r>
        <w:rPr>
          <w:rFonts w:ascii="Times New Roman" w:hAnsi="Times New Roman" w:cs="Times New Roman"/>
          <w:b/>
          <w:sz w:val="24"/>
          <w:szCs w:val="24"/>
        </w:rPr>
        <w:t>Figure 6.7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% Edema inhibition </w:t>
      </w:r>
    </w:p>
    <w:p w:rsidR="00CD6102" w:rsidRDefault="00CD6102" w:rsidP="00CD610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6102" w:rsidRPr="00CD6102" w:rsidRDefault="00CD6102" w:rsidP="00CD6102">
      <w:pPr>
        <w:tabs>
          <w:tab w:val="left" w:pos="3404"/>
        </w:tabs>
      </w:pPr>
    </w:p>
    <w:sectPr w:rsidR="00CD6102" w:rsidRPr="00CD6102" w:rsidSect="00E72B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595" w:rsidRDefault="00494595" w:rsidP="00CD6102">
      <w:pPr>
        <w:spacing w:after="0" w:line="240" w:lineRule="auto"/>
      </w:pPr>
      <w:r>
        <w:separator/>
      </w:r>
    </w:p>
  </w:endnote>
  <w:endnote w:type="continuationSeparator" w:id="1">
    <w:p w:rsidR="00494595" w:rsidRDefault="00494595" w:rsidP="00CD6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595" w:rsidRDefault="00494595" w:rsidP="00CD6102">
      <w:pPr>
        <w:spacing w:after="0" w:line="240" w:lineRule="auto"/>
      </w:pPr>
      <w:r>
        <w:separator/>
      </w:r>
    </w:p>
  </w:footnote>
  <w:footnote w:type="continuationSeparator" w:id="1">
    <w:p w:rsidR="00494595" w:rsidRDefault="00494595" w:rsidP="00CD61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6102"/>
    <w:rsid w:val="00494595"/>
    <w:rsid w:val="00B06408"/>
    <w:rsid w:val="00CD6102"/>
    <w:rsid w:val="00E06BE9"/>
    <w:rsid w:val="00E72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1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D61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6102"/>
  </w:style>
  <w:style w:type="paragraph" w:styleId="Footer">
    <w:name w:val="footer"/>
    <w:basedOn w:val="Normal"/>
    <w:link w:val="FooterChar"/>
    <w:uiPriority w:val="99"/>
    <w:semiHidden/>
    <w:unhideWhenUsed/>
    <w:rsid w:val="00CD61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61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chart" Target="charts/chart4.xml"/><Relationship Id="rId2" Type="http://schemas.openxmlformats.org/officeDocument/2006/relationships/settings" Target="settings.xml"/><Relationship Id="rId16" Type="http://schemas.openxmlformats.org/officeDocument/2006/relationships/chart" Target="charts/chart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chart" Target="charts/chart2.xml"/><Relationship Id="rId14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RB%20Science%20Projects\RB%20SCIENCE%20ALL%20PROJECTS\PROJECTS%202023-24\Cology\LNCP\Valanj\Thesis\New%20Microsoft%20Excel%20Workshee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F:\RB%20Science%20Projects\RB%20SCIENCE%20ALL%20PROJECTS\PROJECTS%202023-24\Cology\LNCP\Valanj\Thesis\New%20Microsoft%20Excel%20Workshee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F:\RB%20Science%20Projects\RB%20SCIENCE%20ALL%20PROJECTS\PROJECTS%202023-24\Cology\LNCP\Valanj\Thesis\New%20Microsoft%20Excel%20Workshee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F:\RB%20Science%20Projects\RB%20SCIENCE%20ALL%20PROJECTS\PROJECTS%202023-24\Cology\LNCP\Valanj\Thesis\New%20Microsoft%20Excel%20Workshee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Sheet1!$A$10</c:f>
              <c:strCache>
                <c:ptCount val="1"/>
                <c:pt idx="0">
                  <c:v>Petroleum Ether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Val val="1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Sheet1!$B$9:$C$9</c:f>
              <c:strCache>
                <c:ptCount val="2"/>
                <c:pt idx="0">
                  <c:v>M. indica</c:v>
                </c:pt>
                <c:pt idx="1">
                  <c:v>T. divaricata</c:v>
                </c:pt>
              </c:strCache>
            </c:strRef>
          </c:cat>
          <c:val>
            <c:numRef>
              <c:f>Sheet1!$B$10:$C$10</c:f>
              <c:numCache>
                <c:formatCode>General</c:formatCode>
                <c:ptCount val="2"/>
                <c:pt idx="0">
                  <c:v>1.37</c:v>
                </c:pt>
                <c:pt idx="1">
                  <c:v>1.21</c:v>
                </c:pt>
              </c:numCache>
            </c:numRef>
          </c:val>
        </c:ser>
        <c:ser>
          <c:idx val="1"/>
          <c:order val="1"/>
          <c:tx>
            <c:strRef>
              <c:f>Sheet1!$A$11</c:f>
              <c:strCache>
                <c:ptCount val="1"/>
                <c:pt idx="0">
                  <c:v>Ethanol-water (70:30)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Val val="1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Sheet1!$B$9:$C$9</c:f>
              <c:strCache>
                <c:ptCount val="2"/>
                <c:pt idx="0">
                  <c:v>M. indica</c:v>
                </c:pt>
                <c:pt idx="1">
                  <c:v>T. divaricata</c:v>
                </c:pt>
              </c:strCache>
            </c:strRef>
          </c:cat>
          <c:val>
            <c:numRef>
              <c:f>Sheet1!$B$11:$C$11</c:f>
              <c:numCache>
                <c:formatCode>General</c:formatCode>
                <c:ptCount val="2"/>
                <c:pt idx="0">
                  <c:v>8.7399999999999984</c:v>
                </c:pt>
                <c:pt idx="1">
                  <c:v>10.26</c:v>
                </c:pt>
              </c:numCache>
            </c:numRef>
          </c:val>
        </c:ser>
        <c:dLbls>
          <c:showVal val="1"/>
        </c:dLbls>
        <c:gapWidth val="164"/>
        <c:overlap val="-22"/>
        <c:axId val="65133184"/>
        <c:axId val="65167744"/>
      </c:barChart>
      <c:catAx>
        <c:axId val="65133184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167744"/>
        <c:crosses val="autoZero"/>
        <c:auto val="1"/>
        <c:lblAlgn val="ctr"/>
        <c:lblOffset val="100"/>
      </c:catAx>
      <c:valAx>
        <c:axId val="65167744"/>
        <c:scaling>
          <c:orientation val="minMax"/>
        </c:scaling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% Yield of extract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133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/>
      <c:scatterChart>
        <c:scatterStyle val="smoothMarker"/>
        <c:ser>
          <c:idx val="0"/>
          <c:order val="0"/>
          <c:tx>
            <c:strRef>
              <c:f>TPC!$C$2</c:f>
              <c:strCache>
                <c:ptCount val="1"/>
                <c:pt idx="0">
                  <c:v>Absorbance at 765 nm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3898797025371818"/>
                  <c:y val="-3.295275590551181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TPC!$B$3:$B$13</c:f>
              <c:numCache>
                <c:formatCode>General</c:formatCode>
                <c:ptCount val="11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  <c:pt idx="6">
                  <c:v>60</c:v>
                </c:pt>
                <c:pt idx="7">
                  <c:v>70</c:v>
                </c:pt>
                <c:pt idx="8">
                  <c:v>80</c:v>
                </c:pt>
                <c:pt idx="9">
                  <c:v>90</c:v>
                </c:pt>
                <c:pt idx="10">
                  <c:v>100</c:v>
                </c:pt>
              </c:numCache>
            </c:numRef>
          </c:xVal>
          <c:yVal>
            <c:numRef>
              <c:f>TPC!$C$3:$C$13</c:f>
              <c:numCache>
                <c:formatCode>General</c:formatCode>
                <c:ptCount val="11"/>
                <c:pt idx="0">
                  <c:v>0</c:v>
                </c:pt>
                <c:pt idx="1">
                  <c:v>6.1000000000000013E-2</c:v>
                </c:pt>
                <c:pt idx="2">
                  <c:v>0.11799999999999998</c:v>
                </c:pt>
                <c:pt idx="3">
                  <c:v>0.17300000000000001</c:v>
                </c:pt>
                <c:pt idx="4">
                  <c:v>0.23300000000000001</c:v>
                </c:pt>
                <c:pt idx="5">
                  <c:v>0.29100000000000031</c:v>
                </c:pt>
                <c:pt idx="6">
                  <c:v>0.34800000000000031</c:v>
                </c:pt>
                <c:pt idx="7">
                  <c:v>0.42200000000000032</c:v>
                </c:pt>
                <c:pt idx="8">
                  <c:v>0.47500000000000031</c:v>
                </c:pt>
                <c:pt idx="9">
                  <c:v>0.55000000000000004</c:v>
                </c:pt>
                <c:pt idx="10">
                  <c:v>0.59799999999999998</c:v>
                </c:pt>
              </c:numCache>
            </c:numRef>
          </c:yVal>
          <c:smooth val="1"/>
        </c:ser>
        <c:axId val="65341312"/>
        <c:axId val="70702976"/>
      </c:scatterChart>
      <c:valAx>
        <c:axId val="6534131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</a:t>
                </a:r>
                <a:r>
                  <a:rPr lang="en-US" baseline="0"/>
                  <a:t> (µg/mL)</a:t>
                </a:r>
                <a:endParaRPr lang="en-US"/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702976"/>
        <c:crosses val="autoZero"/>
        <c:crossBetween val="midCat"/>
      </c:valAx>
      <c:valAx>
        <c:axId val="707029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Absorbance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3413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 algn="just">
        <a:defRPr/>
      </a:pPr>
      <a:endParaRPr lang="en-US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Oxidant!$C$14</c:f>
              <c:strCache>
                <c:ptCount val="1"/>
                <c:pt idx="0">
                  <c:v>%DPPH Inhibition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errBars>
            <c:errBarType val="both"/>
            <c:errValType val="cust"/>
            <c:plus>
              <c:numRef>
                <c:f>Oxidant!$D$15:$D$19</c:f>
                <c:numCache>
                  <c:formatCode>General</c:formatCode>
                  <c:ptCount val="5"/>
                  <c:pt idx="0">
                    <c:v>0.36100000000000032</c:v>
                  </c:pt>
                  <c:pt idx="1">
                    <c:v>1.5129999999999924</c:v>
                  </c:pt>
                  <c:pt idx="2">
                    <c:v>0.70200000000000062</c:v>
                  </c:pt>
                  <c:pt idx="3">
                    <c:v>1.127</c:v>
                  </c:pt>
                  <c:pt idx="4">
                    <c:v>1.464</c:v>
                  </c:pt>
                </c:numCache>
              </c:numRef>
            </c:plus>
            <c:minus>
              <c:numRef>
                <c:f>Oxidant!$D$15:$D$19</c:f>
                <c:numCache>
                  <c:formatCode>General</c:formatCode>
                  <c:ptCount val="5"/>
                  <c:pt idx="0">
                    <c:v>0.36100000000000032</c:v>
                  </c:pt>
                  <c:pt idx="1">
                    <c:v>1.5129999999999924</c:v>
                  </c:pt>
                  <c:pt idx="2">
                    <c:v>0.70200000000000062</c:v>
                  </c:pt>
                  <c:pt idx="3">
                    <c:v>1.127</c:v>
                  </c:pt>
                  <c:pt idx="4">
                    <c:v>1.464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Oxidant!$B$15:$B$19</c:f>
              <c:strCache>
                <c:ptCount val="5"/>
                <c:pt idx="0">
                  <c:v>C1</c:v>
                </c:pt>
                <c:pt idx="1">
                  <c:v>C2</c:v>
                </c:pt>
                <c:pt idx="2">
                  <c:v>C3</c:v>
                </c:pt>
                <c:pt idx="3">
                  <c:v>M. indica</c:v>
                </c:pt>
                <c:pt idx="4">
                  <c:v>T. divaricata</c:v>
                </c:pt>
              </c:strCache>
            </c:strRef>
          </c:cat>
          <c:val>
            <c:numRef>
              <c:f>Oxidant!$C$15:$C$19</c:f>
              <c:numCache>
                <c:formatCode>General</c:formatCode>
                <c:ptCount val="5"/>
                <c:pt idx="0">
                  <c:v>35.800000000000004</c:v>
                </c:pt>
                <c:pt idx="1">
                  <c:v>82.9</c:v>
                </c:pt>
                <c:pt idx="2">
                  <c:v>94.36999999999999</c:v>
                </c:pt>
                <c:pt idx="3">
                  <c:v>44.8</c:v>
                </c:pt>
                <c:pt idx="4">
                  <c:v>35.870000000000005</c:v>
                </c:pt>
              </c:numCache>
            </c:numRef>
          </c:val>
        </c:ser>
        <c:gapWidth val="219"/>
        <c:overlap val="-27"/>
        <c:axId val="70970752"/>
        <c:axId val="107062016"/>
      </c:barChart>
      <c:catAx>
        <c:axId val="70970752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7062016"/>
        <c:crosses val="autoZero"/>
        <c:auto val="1"/>
        <c:lblAlgn val="ctr"/>
        <c:lblOffset val="100"/>
      </c:catAx>
      <c:valAx>
        <c:axId val="10706201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% DPPH inhibition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9707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Sheet3!$B$24</c:f>
              <c:strCache>
                <c:ptCount val="1"/>
                <c:pt idx="0">
                  <c:v>Ibuprofen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Sheet3!$C$23:$F$23</c:f>
              <c:strCache>
                <c:ptCount val="4"/>
                <c:pt idx="0">
                  <c:v>1h</c:v>
                </c:pt>
                <c:pt idx="1">
                  <c:v>2h</c:v>
                </c:pt>
                <c:pt idx="2">
                  <c:v>3h</c:v>
                </c:pt>
                <c:pt idx="3">
                  <c:v>4h</c:v>
                </c:pt>
              </c:strCache>
            </c:strRef>
          </c:cat>
          <c:val>
            <c:numRef>
              <c:f>Sheet3!$C$24:$F$24</c:f>
              <c:numCache>
                <c:formatCode>General</c:formatCode>
                <c:ptCount val="4"/>
                <c:pt idx="0">
                  <c:v>44.260000000000012</c:v>
                </c:pt>
                <c:pt idx="1">
                  <c:v>47.77</c:v>
                </c:pt>
                <c:pt idx="2">
                  <c:v>54.41</c:v>
                </c:pt>
                <c:pt idx="3">
                  <c:v>74.040000000000006</c:v>
                </c:pt>
              </c:numCache>
            </c:numRef>
          </c:val>
        </c:ser>
        <c:ser>
          <c:idx val="1"/>
          <c:order val="1"/>
          <c:tx>
            <c:strRef>
              <c:f>Sheet3!$B$25</c:f>
              <c:strCache>
                <c:ptCount val="1"/>
                <c:pt idx="0">
                  <c:v>M. indica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Sheet3!$C$23:$F$23</c:f>
              <c:strCache>
                <c:ptCount val="4"/>
                <c:pt idx="0">
                  <c:v>1h</c:v>
                </c:pt>
                <c:pt idx="1">
                  <c:v>2h</c:v>
                </c:pt>
                <c:pt idx="2">
                  <c:v>3h</c:v>
                </c:pt>
                <c:pt idx="3">
                  <c:v>4h</c:v>
                </c:pt>
              </c:strCache>
            </c:strRef>
          </c:cat>
          <c:val>
            <c:numRef>
              <c:f>Sheet3!$C$25:$F$25</c:f>
              <c:numCache>
                <c:formatCode>General</c:formatCode>
                <c:ptCount val="4"/>
                <c:pt idx="0">
                  <c:v>13.93</c:v>
                </c:pt>
                <c:pt idx="1">
                  <c:v>33.83</c:v>
                </c:pt>
                <c:pt idx="2">
                  <c:v>43.32</c:v>
                </c:pt>
                <c:pt idx="3">
                  <c:v>50.24</c:v>
                </c:pt>
              </c:numCache>
            </c:numRef>
          </c:val>
        </c:ser>
        <c:ser>
          <c:idx val="2"/>
          <c:order val="2"/>
          <c:tx>
            <c:strRef>
              <c:f>Sheet3!$B$26</c:f>
              <c:strCache>
                <c:ptCount val="1"/>
                <c:pt idx="0">
                  <c:v>T. divaricata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Sheet3!$C$23:$F$23</c:f>
              <c:strCache>
                <c:ptCount val="4"/>
                <c:pt idx="0">
                  <c:v>1h</c:v>
                </c:pt>
                <c:pt idx="1">
                  <c:v>2h</c:v>
                </c:pt>
                <c:pt idx="2">
                  <c:v>3h</c:v>
                </c:pt>
                <c:pt idx="3">
                  <c:v>4h</c:v>
                </c:pt>
              </c:strCache>
            </c:strRef>
          </c:cat>
          <c:val>
            <c:numRef>
              <c:f>Sheet3!$C$26:$F$26</c:f>
              <c:numCache>
                <c:formatCode>General</c:formatCode>
                <c:ptCount val="4"/>
                <c:pt idx="0">
                  <c:v>7.38</c:v>
                </c:pt>
                <c:pt idx="1">
                  <c:v>24.630000000000031</c:v>
                </c:pt>
                <c:pt idx="2">
                  <c:v>34.01</c:v>
                </c:pt>
                <c:pt idx="3">
                  <c:v>46.879999999999995</c:v>
                </c:pt>
              </c:numCache>
            </c:numRef>
          </c:val>
        </c:ser>
        <c:ser>
          <c:idx val="3"/>
          <c:order val="3"/>
          <c:tx>
            <c:strRef>
              <c:f>Sheet3!$B$27</c:f>
              <c:strCache>
                <c:ptCount val="1"/>
                <c:pt idx="0">
                  <c:v>C1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Sheet3!$C$23:$F$23</c:f>
              <c:strCache>
                <c:ptCount val="4"/>
                <c:pt idx="0">
                  <c:v>1h</c:v>
                </c:pt>
                <c:pt idx="1">
                  <c:v>2h</c:v>
                </c:pt>
                <c:pt idx="2">
                  <c:v>3h</c:v>
                </c:pt>
                <c:pt idx="3">
                  <c:v>4h</c:v>
                </c:pt>
              </c:strCache>
            </c:strRef>
          </c:cat>
          <c:val>
            <c:numRef>
              <c:f>Sheet3!$C$27:$F$27</c:f>
              <c:numCache>
                <c:formatCode>General</c:formatCode>
                <c:ptCount val="4"/>
                <c:pt idx="0">
                  <c:v>19.670000000000005</c:v>
                </c:pt>
                <c:pt idx="1">
                  <c:v>35.61</c:v>
                </c:pt>
                <c:pt idx="2">
                  <c:v>45.09</c:v>
                </c:pt>
                <c:pt idx="3">
                  <c:v>51.68</c:v>
                </c:pt>
              </c:numCache>
            </c:numRef>
          </c:val>
        </c:ser>
        <c:ser>
          <c:idx val="4"/>
          <c:order val="4"/>
          <c:tx>
            <c:strRef>
              <c:f>Sheet3!$B$28</c:f>
              <c:strCache>
                <c:ptCount val="1"/>
                <c:pt idx="0">
                  <c:v>C2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cat>
            <c:strRef>
              <c:f>Sheet3!$C$23:$F$23</c:f>
              <c:strCache>
                <c:ptCount val="4"/>
                <c:pt idx="0">
                  <c:v>1h</c:v>
                </c:pt>
                <c:pt idx="1">
                  <c:v>2h</c:v>
                </c:pt>
                <c:pt idx="2">
                  <c:v>3h</c:v>
                </c:pt>
                <c:pt idx="3">
                  <c:v>4h</c:v>
                </c:pt>
              </c:strCache>
            </c:strRef>
          </c:cat>
          <c:val>
            <c:numRef>
              <c:f>Sheet3!$C$28:$F$28</c:f>
              <c:numCache>
                <c:formatCode>General</c:formatCode>
                <c:ptCount val="4"/>
                <c:pt idx="0">
                  <c:v>23.77</c:v>
                </c:pt>
                <c:pt idx="1">
                  <c:v>37.39</c:v>
                </c:pt>
                <c:pt idx="2">
                  <c:v>46.1</c:v>
                </c:pt>
                <c:pt idx="3">
                  <c:v>54.809999999999995</c:v>
                </c:pt>
              </c:numCache>
            </c:numRef>
          </c:val>
        </c:ser>
        <c:ser>
          <c:idx val="5"/>
          <c:order val="5"/>
          <c:tx>
            <c:strRef>
              <c:f>Sheet3!$B$29</c:f>
              <c:strCache>
                <c:ptCount val="1"/>
                <c:pt idx="0">
                  <c:v>C3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cat>
            <c:strRef>
              <c:f>Sheet3!$C$23:$F$23</c:f>
              <c:strCache>
                <c:ptCount val="4"/>
                <c:pt idx="0">
                  <c:v>1h</c:v>
                </c:pt>
                <c:pt idx="1">
                  <c:v>2h</c:v>
                </c:pt>
                <c:pt idx="2">
                  <c:v>3h</c:v>
                </c:pt>
                <c:pt idx="3">
                  <c:v>4h</c:v>
                </c:pt>
              </c:strCache>
            </c:strRef>
          </c:cat>
          <c:val>
            <c:numRef>
              <c:f>Sheet3!$C$29:$F$29</c:f>
              <c:numCache>
                <c:formatCode>General</c:formatCode>
                <c:ptCount val="4"/>
                <c:pt idx="0">
                  <c:v>27.87</c:v>
                </c:pt>
                <c:pt idx="1">
                  <c:v>39.760000000000012</c:v>
                </c:pt>
                <c:pt idx="2">
                  <c:v>47.36</c:v>
                </c:pt>
                <c:pt idx="3">
                  <c:v>60.82</c:v>
                </c:pt>
              </c:numCache>
            </c:numRef>
          </c:val>
        </c:ser>
        <c:gapWidth val="267"/>
        <c:overlap val="-43"/>
        <c:axId val="51688192"/>
        <c:axId val="51690112"/>
      </c:barChart>
      <c:catAx>
        <c:axId val="51688192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(h)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690112"/>
        <c:crosses val="autoZero"/>
        <c:auto val="1"/>
        <c:lblAlgn val="ctr"/>
        <c:lblOffset val="100"/>
      </c:catAx>
      <c:valAx>
        <c:axId val="5169011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% edema inhibition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688192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gcp7</dc:creator>
  <cp:lastModifiedBy>gcp7</cp:lastModifiedBy>
  <cp:revision>1</cp:revision>
  <dcterms:created xsi:type="dcterms:W3CDTF">2024-10-18T06:19:00Z</dcterms:created>
  <dcterms:modified xsi:type="dcterms:W3CDTF">2024-10-18T06:27:00Z</dcterms:modified>
</cp:coreProperties>
</file>