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47D03A" w14:textId="77777777" w:rsidR="00C471C1" w:rsidRPr="006626AD" w:rsidRDefault="00C471C1" w:rsidP="00C471C1">
      <w:pPr>
        <w:spacing w:after="240" w:line="480" w:lineRule="auto"/>
        <w:jc w:val="left"/>
        <w:rPr>
          <w:rFonts w:ascii="Arial" w:eastAsia="FangSong" w:hAnsi="Arial" w:cs="Arial"/>
          <w:b/>
          <w:sz w:val="28"/>
          <w:szCs w:val="28"/>
        </w:rPr>
      </w:pPr>
      <w:r w:rsidRPr="006626AD">
        <w:rPr>
          <w:rFonts w:ascii="Arial" w:eastAsia="FangSong" w:hAnsi="Arial" w:cs="Arial"/>
          <w:bCs/>
          <w:sz w:val="24"/>
          <w:szCs w:val="24"/>
        </w:rPr>
        <w:t>Supplementary materials</w:t>
      </w:r>
    </w:p>
    <w:p w14:paraId="360C0BC6" w14:textId="77777777" w:rsidR="00C471C1" w:rsidRPr="006626AD" w:rsidRDefault="00C471C1" w:rsidP="00C471C1">
      <w:pPr>
        <w:spacing w:after="240" w:line="480" w:lineRule="auto"/>
        <w:jc w:val="center"/>
        <w:rPr>
          <w:rFonts w:ascii="Arial" w:eastAsia="FangSong" w:hAnsi="Arial" w:cs="Arial"/>
          <w:b/>
          <w:sz w:val="24"/>
          <w:szCs w:val="24"/>
        </w:rPr>
      </w:pPr>
      <w:r w:rsidRPr="006626AD">
        <w:rPr>
          <w:rFonts w:ascii="Arial" w:eastAsia="FangSong" w:hAnsi="Arial" w:cs="Arial"/>
          <w:b/>
          <w:sz w:val="28"/>
          <w:szCs w:val="28"/>
        </w:rPr>
        <w:t>Platelet-specific TGFβ1 deficiency aggravates atherosclerosis, vascular inflammation, and hypercholesterolemia in mice</w:t>
      </w:r>
    </w:p>
    <w:p w14:paraId="072C8872" w14:textId="77777777" w:rsidR="00C471C1" w:rsidRPr="006626AD" w:rsidRDefault="00C471C1" w:rsidP="00C471C1">
      <w:pPr>
        <w:spacing w:after="240"/>
        <w:jc w:val="center"/>
        <w:rPr>
          <w:rFonts w:ascii="Arial" w:eastAsia="FangSong" w:hAnsi="Arial" w:cs="Arial"/>
          <w:bCs/>
          <w:sz w:val="24"/>
          <w:szCs w:val="24"/>
          <w:lang w:val="en-US"/>
        </w:rPr>
      </w:pPr>
    </w:p>
    <w:p w14:paraId="527B24E7" w14:textId="77777777" w:rsidR="00C471C1" w:rsidRPr="006626AD" w:rsidRDefault="00C471C1" w:rsidP="00C471C1">
      <w:pPr>
        <w:spacing w:after="240"/>
        <w:jc w:val="center"/>
        <w:rPr>
          <w:rFonts w:ascii="Arial" w:eastAsia="FangSong" w:hAnsi="Arial" w:cs="Arial"/>
          <w:bCs/>
          <w:sz w:val="24"/>
          <w:szCs w:val="24"/>
          <w:lang w:val="en-US"/>
        </w:rPr>
      </w:pP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Shuai Tan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1†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Yang Sun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2,3†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Zi Sheng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3,4†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Yanan Min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1,5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Anton Gisterå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1, 6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Junhao Zhang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1,7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Daniel F.J. Ketelhuth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1, 6, 8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Wangjun Liao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7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John Andersson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9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Hu Hu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10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Miao Wang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11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Min</w:t>
      </w:r>
      <w:r>
        <w:rPr>
          <w:rFonts w:ascii="Arial" w:eastAsia="FangSong" w:hAnsi="Arial" w:cs="Arial"/>
          <w:bCs/>
          <w:sz w:val="24"/>
          <w:szCs w:val="24"/>
          <w:lang w:val="en-US"/>
        </w:rPr>
        <w:t>g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 xml:space="preserve"> Hou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3,4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Mingxiang Zhang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3,12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Jun Peng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3,4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, Chunhong Ma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2,3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*, Nailin Li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  <w:lang w:val="en-US"/>
        </w:rPr>
        <w:t>1,3</w:t>
      </w:r>
      <w:r w:rsidRPr="006626AD">
        <w:rPr>
          <w:rFonts w:ascii="Arial" w:eastAsia="FangSong" w:hAnsi="Arial" w:cs="Arial"/>
          <w:bCs/>
          <w:sz w:val="24"/>
          <w:szCs w:val="24"/>
          <w:lang w:val="en-US"/>
        </w:rPr>
        <w:t>*</w:t>
      </w:r>
    </w:p>
    <w:p w14:paraId="59438131" w14:textId="77777777" w:rsidR="00C471C1" w:rsidRPr="006626AD" w:rsidRDefault="00C471C1" w:rsidP="00C471C1">
      <w:pPr>
        <w:spacing w:after="240"/>
        <w:jc w:val="center"/>
        <w:rPr>
          <w:rFonts w:ascii="Arial" w:eastAsia="Times New Roman" w:hAnsi="Arial" w:cs="Arial"/>
          <w:sz w:val="24"/>
          <w:szCs w:val="24"/>
        </w:rPr>
      </w:pPr>
      <w:r w:rsidRPr="006626AD">
        <w:rPr>
          <w:rFonts w:ascii="Arial" w:eastAsia="FangSong" w:hAnsi="Arial" w:cs="Arial"/>
          <w:bCs/>
          <w:sz w:val="24"/>
          <w:szCs w:val="24"/>
          <w:vertAlign w:val="superscript"/>
        </w:rPr>
        <w:t>1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Karolinska Institutet, Department of Medicine-Solna, Cardiovascular Medicine Unit, Stockholm, Sweden; </w:t>
      </w:r>
      <w:r w:rsidRPr="006626AD">
        <w:rPr>
          <w:rFonts w:ascii="Arial" w:eastAsia="Times New Roman" w:hAnsi="Arial" w:cs="Arial"/>
          <w:sz w:val="24"/>
          <w:szCs w:val="24"/>
          <w:vertAlign w:val="superscript"/>
        </w:rPr>
        <w:t>2</w:t>
      </w:r>
      <w:r w:rsidRPr="006626AD">
        <w:rPr>
          <w:rFonts w:ascii="Arial" w:eastAsia="Times New Roman" w:hAnsi="Arial" w:cs="Arial"/>
          <w:sz w:val="24"/>
          <w:szCs w:val="24"/>
        </w:rPr>
        <w:t xml:space="preserve">Shandong University Cheeloo Medical College, </w:t>
      </w:r>
      <w:r w:rsidRPr="006626AD">
        <w:rPr>
          <w:rFonts w:ascii="Arial" w:eastAsia="Times New Roman" w:hAnsi="Arial" w:cs="Arial"/>
          <w:bCs/>
          <w:sz w:val="24"/>
          <w:szCs w:val="24"/>
        </w:rPr>
        <w:t>School of Basic Medicine, Department</w:t>
      </w:r>
      <w:r w:rsidRPr="006626AD">
        <w:rPr>
          <w:rFonts w:ascii="Arial" w:eastAsia="Times New Roman" w:hAnsi="Arial" w:cs="Arial"/>
          <w:sz w:val="24"/>
          <w:szCs w:val="24"/>
        </w:rPr>
        <w:t xml:space="preserve"> of Immunology, Jinan, China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; </w:t>
      </w:r>
      <w:r w:rsidRPr="006626AD">
        <w:rPr>
          <w:rFonts w:ascii="Arial" w:eastAsia="Times New Roman" w:hAnsi="Arial" w:cs="Arial"/>
          <w:sz w:val="24"/>
          <w:szCs w:val="24"/>
          <w:vertAlign w:val="superscript"/>
        </w:rPr>
        <w:t>3</w:t>
      </w:r>
      <w:r w:rsidRPr="006626AD">
        <w:rPr>
          <w:rFonts w:ascii="Arial" w:eastAsia="Times New Roman" w:hAnsi="Arial" w:cs="Arial"/>
          <w:sz w:val="24"/>
          <w:szCs w:val="24"/>
        </w:rPr>
        <w:t>Shandong University-</w:t>
      </w:r>
      <w:r w:rsidRPr="006626AD">
        <w:rPr>
          <w:rFonts w:ascii="Arial" w:eastAsia="FangSong" w:hAnsi="Arial" w:cs="Arial"/>
          <w:bCs/>
          <w:sz w:val="24"/>
          <w:szCs w:val="24"/>
        </w:rPr>
        <w:t>Karolinska Institutet</w:t>
      </w:r>
      <w:r w:rsidRPr="006626AD">
        <w:rPr>
          <w:rFonts w:ascii="Arial" w:eastAsia="Times New Roman" w:hAnsi="Arial" w:cs="Arial"/>
          <w:sz w:val="24"/>
          <w:szCs w:val="24"/>
        </w:rPr>
        <w:t xml:space="preserve"> Translational Medicine Collaborative Research Platform, Jinan, China</w:t>
      </w:r>
      <w:r w:rsidRPr="006626AD">
        <w:rPr>
          <w:rFonts w:ascii="Arial" w:eastAsia="FangSong" w:hAnsi="Arial" w:cs="Arial"/>
          <w:bCs/>
          <w:sz w:val="24"/>
          <w:szCs w:val="24"/>
        </w:rPr>
        <w:t>;</w:t>
      </w:r>
      <w:r w:rsidRPr="006626AD">
        <w:rPr>
          <w:rFonts w:ascii="Arial" w:eastAsia="Times New Roman" w:hAnsi="Arial" w:cs="Arial"/>
          <w:sz w:val="24"/>
          <w:szCs w:val="24"/>
          <w:vertAlign w:val="superscript"/>
        </w:rPr>
        <w:t xml:space="preserve"> 4</w:t>
      </w:r>
      <w:r w:rsidRPr="006626AD">
        <w:rPr>
          <w:rFonts w:ascii="Arial" w:eastAsia="Times New Roman" w:hAnsi="Arial" w:cs="Arial"/>
          <w:sz w:val="24"/>
          <w:szCs w:val="24"/>
        </w:rPr>
        <w:t>Qilu Hospital of Shandong University, Department of Hematology, Jinan, China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; </w:t>
      </w:r>
      <w:r w:rsidRPr="006626AD">
        <w:rPr>
          <w:rFonts w:ascii="Arial" w:eastAsia="Times New Roman" w:hAnsi="Arial" w:cs="Arial"/>
          <w:sz w:val="24"/>
          <w:szCs w:val="24"/>
          <w:vertAlign w:val="superscript"/>
        </w:rPr>
        <w:t>5</w:t>
      </w:r>
      <w:r w:rsidRPr="006626AD">
        <w:rPr>
          <w:rFonts w:ascii="Arial" w:eastAsia="Times New Roman" w:hAnsi="Arial" w:cs="Arial"/>
          <w:sz w:val="24"/>
          <w:szCs w:val="24"/>
        </w:rPr>
        <w:t>Jining Medical University Affiliated Hospital, Department of Hematology, Jining, China;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 Karolinska Institutet, </w:t>
      </w:r>
      <w:r w:rsidRPr="006626AD">
        <w:rPr>
          <w:rFonts w:ascii="Arial" w:eastAsia="FangSong" w:hAnsi="Arial" w:cs="Arial"/>
          <w:sz w:val="24"/>
          <w:szCs w:val="24"/>
          <w:vertAlign w:val="superscript"/>
        </w:rPr>
        <w:t>6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Center for Molecular Medicine, Karolinska University Hospital, Stockholm, Sweden; </w:t>
      </w:r>
      <w:r w:rsidRPr="006626AD">
        <w:rPr>
          <w:rFonts w:ascii="Arial" w:eastAsia="FangSong" w:hAnsi="Arial" w:cs="Arial"/>
          <w:sz w:val="24"/>
          <w:szCs w:val="24"/>
          <w:vertAlign w:val="superscript"/>
        </w:rPr>
        <w:t>7</w:t>
      </w:r>
      <w:r w:rsidRPr="006626AD">
        <w:rPr>
          <w:rFonts w:ascii="Arial" w:eastAsia="Times New Roman" w:hAnsi="Arial" w:cs="Arial"/>
          <w:sz w:val="24"/>
          <w:szCs w:val="24"/>
        </w:rPr>
        <w:t xml:space="preserve">Nanfang Hospital, Department of Oncology, Southern Medical University, Guangzhou, China; 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</w:rPr>
        <w:t>8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Department of Cardiovascular and Renal Research, Institute for Molecular Medicine, University of Southern Denmark; 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</w:rPr>
        <w:t>9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Department of Environmental Medicine, Integrated Epidemiology Group, Stockholm, Sweden; </w:t>
      </w:r>
      <w:r w:rsidRPr="006626AD">
        <w:rPr>
          <w:rFonts w:ascii="Arial" w:eastAsia="FangSong" w:hAnsi="Arial" w:cs="Arial"/>
          <w:bCs/>
          <w:sz w:val="24"/>
          <w:szCs w:val="24"/>
          <w:vertAlign w:val="superscript"/>
        </w:rPr>
        <w:t>10</w:t>
      </w:r>
      <w:r w:rsidRPr="006626AD">
        <w:rPr>
          <w:rFonts w:ascii="Arial" w:eastAsia="FangSong" w:hAnsi="Arial" w:cs="Arial"/>
          <w:bCs/>
          <w:sz w:val="24"/>
          <w:szCs w:val="24"/>
        </w:rPr>
        <w:t xml:space="preserve">Zhejiang University School of Medicine, Department of Pathology and Pathophysiology, Hangzhou, China; </w:t>
      </w:r>
      <w:r w:rsidRPr="006626AD">
        <w:rPr>
          <w:rFonts w:ascii="Arial" w:eastAsia="FangSong" w:hAnsi="Arial" w:cs="Arial"/>
          <w:sz w:val="24"/>
          <w:szCs w:val="24"/>
          <w:vertAlign w:val="superscript"/>
        </w:rPr>
        <w:t>11</w:t>
      </w:r>
      <w:r w:rsidRPr="006626AD">
        <w:rPr>
          <w:rStyle w:val="highlight"/>
          <w:rFonts w:ascii="Arial" w:eastAsia="Times New Roman" w:hAnsi="Arial" w:cs="Arial"/>
          <w:sz w:val="24"/>
          <w:szCs w:val="24"/>
        </w:rPr>
        <w:t>Fuwai</w:t>
      </w:r>
      <w:r w:rsidRPr="006626AD">
        <w:rPr>
          <w:rFonts w:ascii="Arial" w:eastAsia="Times New Roman" w:hAnsi="Arial" w:cs="Arial"/>
          <w:sz w:val="24"/>
          <w:szCs w:val="24"/>
        </w:rPr>
        <w:t xml:space="preserve"> </w:t>
      </w:r>
      <w:r w:rsidRPr="006626AD">
        <w:rPr>
          <w:rStyle w:val="highlight"/>
          <w:rFonts w:ascii="Arial" w:eastAsia="Times New Roman" w:hAnsi="Arial" w:cs="Arial"/>
          <w:sz w:val="24"/>
          <w:szCs w:val="24"/>
        </w:rPr>
        <w:t>Hospital</w:t>
      </w:r>
      <w:r w:rsidRPr="006626AD">
        <w:rPr>
          <w:rFonts w:ascii="Arial" w:eastAsia="Times New Roman" w:hAnsi="Arial" w:cs="Arial"/>
          <w:sz w:val="24"/>
          <w:szCs w:val="24"/>
        </w:rPr>
        <w:t xml:space="preserve">, National Center for Cardiovascular Diseases, Chinese Academy of Medical Sciences and Peking Union Medical College, Beijing, China; </w:t>
      </w:r>
      <w:r w:rsidRPr="006626AD">
        <w:rPr>
          <w:rFonts w:ascii="Arial" w:eastAsia="Times New Roman" w:hAnsi="Arial" w:cs="Arial"/>
          <w:sz w:val="24"/>
          <w:szCs w:val="24"/>
          <w:vertAlign w:val="superscript"/>
        </w:rPr>
        <w:t>12</w:t>
      </w:r>
      <w:r w:rsidRPr="006626AD">
        <w:rPr>
          <w:rFonts w:ascii="Arial" w:eastAsia="Times New Roman" w:hAnsi="Arial" w:cs="Arial"/>
          <w:sz w:val="24"/>
          <w:szCs w:val="24"/>
        </w:rPr>
        <w:t>Qilu Hospital of Shandong University, Key Laboratory of Cardiovascular Remodeling and Function Research, Jinan, China</w:t>
      </w:r>
    </w:p>
    <w:p w14:paraId="0DC01563" w14:textId="77777777" w:rsidR="00C471C1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8"/>
          <w:szCs w:val="28"/>
        </w:rPr>
      </w:pPr>
    </w:p>
    <w:p w14:paraId="1D012F9D" w14:textId="77777777" w:rsidR="00C471C1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8"/>
          <w:szCs w:val="28"/>
        </w:rPr>
      </w:pPr>
    </w:p>
    <w:p w14:paraId="518C59CC" w14:textId="77777777" w:rsidR="00C471C1" w:rsidRPr="006626AD" w:rsidRDefault="00C471C1" w:rsidP="00C471C1">
      <w:pPr>
        <w:spacing w:after="240" w:line="360" w:lineRule="auto"/>
        <w:jc w:val="left"/>
        <w:rPr>
          <w:rFonts w:ascii="Arial" w:eastAsia="FangSong" w:hAnsi="Arial" w:cs="Arial"/>
          <w:b/>
          <w:sz w:val="28"/>
          <w:szCs w:val="28"/>
        </w:rPr>
      </w:pPr>
      <w:r>
        <w:rPr>
          <w:rFonts w:ascii="Arial" w:eastAsia="FangSong" w:hAnsi="Arial" w:cs="Arial"/>
          <w:b/>
          <w:sz w:val="28"/>
          <w:szCs w:val="28"/>
        </w:rPr>
        <w:br w:type="column"/>
      </w:r>
      <w:r w:rsidRPr="006626AD">
        <w:rPr>
          <w:rFonts w:ascii="Arial" w:eastAsia="FangSong" w:hAnsi="Arial" w:cs="Arial"/>
          <w:b/>
          <w:sz w:val="28"/>
          <w:szCs w:val="28"/>
        </w:rPr>
        <w:lastRenderedPageBreak/>
        <w:t>Supplementary Results</w:t>
      </w:r>
    </w:p>
    <w:p w14:paraId="105DD70E" w14:textId="77777777" w:rsidR="00C471C1" w:rsidRPr="006626AD" w:rsidRDefault="00C471C1" w:rsidP="00C471C1">
      <w:pPr>
        <w:spacing w:after="240" w:line="360" w:lineRule="auto"/>
        <w:jc w:val="left"/>
        <w:rPr>
          <w:rFonts w:ascii="Arial" w:hAnsi="Arial" w:cs="Arial"/>
          <w:b/>
          <w:i/>
          <w:iCs/>
          <w:color w:val="000000" w:themeColor="text1"/>
          <w:sz w:val="24"/>
          <w:szCs w:val="24"/>
        </w:rPr>
      </w:pP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</w:rPr>
        <w:t>Plt-TGFβ</w:t>
      </w: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  <w:vertAlign w:val="superscript"/>
        </w:rPr>
        <w:t>-/-</w:t>
      </w: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</w:rPr>
        <w:t xml:space="preserve"> alters CD4</w:t>
      </w: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</w:rPr>
        <w:t xml:space="preserve"> effector cell activities in the spleen and lymph nodes</w:t>
      </w:r>
    </w:p>
    <w:p w14:paraId="7B0FF5CB" w14:textId="77777777" w:rsidR="00C471C1" w:rsidRPr="006626AD" w:rsidRDefault="00C471C1" w:rsidP="00C471C1">
      <w:pPr>
        <w:spacing w:after="240" w:line="360" w:lineRule="auto"/>
        <w:jc w:val="left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Mononuclear cells were isolated using Ficoll-Paque (Sigma) from the cell mass of the spleen and lymph nodes. 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Flow cytometric phenotyping of CD4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effector cells were performed using intracellular staining, in which IFNγ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, IL-4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, IL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noBreakHyphen/>
        <w:t>17A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, and FoxP3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-CD25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were used as the markers of Th1, Th2, Th17, and Treg cells among CD4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cells, respectively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A).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Briefly, the phenotyping of Th1/Th2/Th17 cells and Treg cells were performed using two separate intracellular staining samples. All CD4</w:t>
      </w:r>
      <w:r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T cells were gated from the mononuclear cells according to their </w:t>
      </w:r>
      <w:r w:rsidRPr="006626AD">
        <w:rPr>
          <w:rFonts w:ascii="Arial" w:eastAsia="FangSong" w:hAnsi="Arial" w:cs="Arial"/>
          <w:bCs/>
          <w:sz w:val="24"/>
          <w:szCs w:val="24"/>
        </w:rPr>
        <w:t>CD4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-positive staining and isotypic control staining of individual mouse. The subsets of CD4</w:t>
      </w:r>
      <w:r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T effector cells were subsequently identified by their corresponding intracellular staining markers, and were presented as the percentages of the total CD4</w:t>
      </w:r>
      <w:r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T cells. 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It was found that plt-TGFβ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-/-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decreased the percentages of Th2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B&amp;C) and Th17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D&amp;E) among the CD4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T cells from both the spleen and the lymph nodes in the 10-week high-fat diet-fed mice. When the duration on high-fat diet was extended to 15 weeks, the suppressed CD4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+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effector cells were seen in Th2 cells from the lymph nodes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H) and Th17 cells in the spleen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1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I).</w:t>
      </w:r>
    </w:p>
    <w:p w14:paraId="2E55786A" w14:textId="77777777" w:rsidR="00C471C1" w:rsidRPr="006626AD" w:rsidRDefault="00C471C1" w:rsidP="00C471C1">
      <w:pPr>
        <w:spacing w:after="240" w:line="360" w:lineRule="auto"/>
        <w:jc w:val="left"/>
        <w:rPr>
          <w:rFonts w:ascii="Arial" w:hAnsi="Arial" w:cs="Arial"/>
          <w:b/>
          <w:i/>
          <w:iCs/>
          <w:color w:val="000000" w:themeColor="text1"/>
          <w:sz w:val="24"/>
          <w:szCs w:val="24"/>
        </w:rPr>
      </w:pP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</w:rPr>
        <w:t>Plt-TGFβ</w:t>
      </w: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  <w:vertAlign w:val="superscript"/>
        </w:rPr>
        <w:t>-/-</w:t>
      </w:r>
      <w:r w:rsidRPr="006626AD">
        <w:rPr>
          <w:rFonts w:ascii="Arial" w:hAnsi="Arial" w:cs="Arial"/>
          <w:b/>
          <w:i/>
          <w:iCs/>
          <w:color w:val="000000" w:themeColor="text1"/>
          <w:sz w:val="24"/>
          <w:szCs w:val="24"/>
        </w:rPr>
        <w:t xml:space="preserve"> elicits a pro-inflammatory profile in the aortic vessel wall</w:t>
      </w:r>
    </w:p>
    <w:p w14:paraId="1FF9442A" w14:textId="77777777" w:rsidR="00C471C1" w:rsidRPr="006626AD" w:rsidRDefault="00C471C1" w:rsidP="00C471C1">
      <w:pPr>
        <w:spacing w:after="240" w:line="360" w:lineRule="auto"/>
        <w:jc w:val="left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Further efforts were made to reveal the impact of plt-TGFβ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-/-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on vascular inflammation in the aorta. Using RNA sequencing data from aortas of mice fed with a 15-week high-fat diet, gene ontology (GO) enrichment analyses showed that plt-TGFβ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-/-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enhanced lymphocyte and monocyte chemotaxis/infiltration and inflammatory responses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lastRenderedPageBreak/>
        <w:t>2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A).</w:t>
      </w:r>
    </w:p>
    <w:p w14:paraId="38B8C7F0" w14:textId="77777777" w:rsidR="00C471C1" w:rsidRDefault="00C471C1" w:rsidP="00C471C1">
      <w:pPr>
        <w:spacing w:after="240" w:line="360" w:lineRule="auto"/>
        <w:jc w:val="left"/>
        <w:rPr>
          <w:rFonts w:ascii="Arial" w:hAnsi="Arial" w:cs="Arial"/>
          <w:bCs/>
          <w:color w:val="000000" w:themeColor="text1"/>
          <w:sz w:val="24"/>
          <w:szCs w:val="24"/>
        </w:rPr>
      </w:pP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With proteomic data of the aorta from 15-week high-fat diet-fed mice, GO enrichment analyses demonstrated that plt-TGFβ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  <w:vertAlign w:val="superscript"/>
        </w:rPr>
        <w:t>-/-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 xml:space="preserve"> increased the expression of the major histocompatibility complex class II (MHC-II) protein complex (Supplementary figure </w:t>
      </w:r>
      <w:r>
        <w:rPr>
          <w:rFonts w:ascii="Arial" w:hAnsi="Arial" w:cs="Arial"/>
          <w:bCs/>
          <w:color w:val="000000" w:themeColor="text1"/>
          <w:sz w:val="24"/>
          <w:szCs w:val="24"/>
        </w:rPr>
        <w:t>2</w:t>
      </w:r>
      <w:r w:rsidRPr="006626AD">
        <w:rPr>
          <w:rFonts w:ascii="Arial" w:hAnsi="Arial" w:cs="Arial"/>
          <w:bCs/>
          <w:color w:val="000000" w:themeColor="text1"/>
          <w:sz w:val="24"/>
          <w:szCs w:val="24"/>
        </w:rPr>
        <w:t>B), indicating that the vascular inflammation was promoting local antigen presentation.</w:t>
      </w:r>
    </w:p>
    <w:p w14:paraId="23DB235F" w14:textId="77777777" w:rsidR="00C471C1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8"/>
          <w:szCs w:val="28"/>
        </w:rPr>
      </w:pPr>
      <w:r>
        <w:rPr>
          <w:rFonts w:ascii="Arial" w:eastAsia="FangSong" w:hAnsi="Arial" w:cs="Arial"/>
          <w:b/>
          <w:sz w:val="28"/>
          <w:szCs w:val="28"/>
        </w:rPr>
        <w:br w:type="column"/>
      </w:r>
      <w:r w:rsidRPr="009320CA">
        <w:rPr>
          <w:rFonts w:ascii="Arial" w:eastAsia="FangSong" w:hAnsi="Arial" w:cs="Arial"/>
          <w:b/>
          <w:sz w:val="28"/>
          <w:szCs w:val="28"/>
        </w:rPr>
        <w:lastRenderedPageBreak/>
        <w:t>Supplementary Figure</w:t>
      </w:r>
      <w:r>
        <w:rPr>
          <w:rFonts w:ascii="Arial" w:eastAsia="FangSong" w:hAnsi="Arial" w:cs="Arial"/>
          <w:b/>
          <w:sz w:val="28"/>
          <w:szCs w:val="28"/>
        </w:rPr>
        <w:t>s and</w:t>
      </w:r>
      <w:r w:rsidRPr="009320CA">
        <w:rPr>
          <w:rFonts w:ascii="Arial" w:eastAsia="FangSong" w:hAnsi="Arial" w:cs="Arial"/>
          <w:b/>
          <w:sz w:val="28"/>
          <w:szCs w:val="28"/>
        </w:rPr>
        <w:t xml:space="preserve"> Legends</w:t>
      </w:r>
    </w:p>
    <w:p w14:paraId="28E8BD8B" w14:textId="77777777" w:rsidR="00C471C1" w:rsidRPr="00407476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2"/>
        </w:rPr>
      </w:pPr>
      <w:r w:rsidRPr="00407476">
        <w:rPr>
          <w:rFonts w:ascii="Arial" w:eastAsia="FangSong" w:hAnsi="Arial" w:cs="Arial"/>
          <w:b/>
          <w:sz w:val="24"/>
          <w:szCs w:val="24"/>
        </w:rPr>
        <w:t xml:space="preserve">Supplementary Figure 1 </w:t>
      </w:r>
    </w:p>
    <w:p w14:paraId="03BC42A9" w14:textId="77777777" w:rsidR="00C471C1" w:rsidRPr="00BB4C00" w:rsidRDefault="00C471C1" w:rsidP="00C471C1">
      <w:pPr>
        <w:widowControl/>
        <w:spacing w:after="240"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0A3E7A2" wp14:editId="0AFA14E9">
            <wp:extent cx="4577787" cy="3760444"/>
            <wp:effectExtent l="0" t="0" r="0" b="0"/>
            <wp:docPr id="221788047" name="Picture 221788047" descr="A collage of images of different types of lymph nod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125407" name="Picture 2" descr="A collage of images of different types of lymph nod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372" cy="3802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5F39B" w14:textId="77777777" w:rsidR="00C471C1" w:rsidRPr="00BB4C00" w:rsidRDefault="00C471C1" w:rsidP="00C471C1">
      <w:pPr>
        <w:spacing w:after="240"/>
        <w:jc w:val="left"/>
        <w:rPr>
          <w:rFonts w:ascii="Arial" w:hAnsi="Arial" w:cs="Arial"/>
          <w:b/>
          <w:color w:val="000000" w:themeColor="text1"/>
          <w:sz w:val="24"/>
          <w:szCs w:val="24"/>
        </w:rPr>
      </w:pPr>
      <w:r w:rsidRPr="00BB4C00">
        <w:rPr>
          <w:rFonts w:ascii="Arial" w:eastAsia="FangSong" w:hAnsi="Arial" w:cs="Arial"/>
          <w:b/>
          <w:sz w:val="24"/>
          <w:szCs w:val="24"/>
        </w:rPr>
        <w:t xml:space="preserve">Supplementary Figure </w:t>
      </w:r>
      <w:r>
        <w:rPr>
          <w:rFonts w:ascii="Arial" w:eastAsia="FangSong" w:hAnsi="Arial" w:cs="Arial"/>
          <w:b/>
          <w:sz w:val="24"/>
          <w:szCs w:val="24"/>
        </w:rPr>
        <w:t>1</w:t>
      </w:r>
      <w:r w:rsidRPr="00BB4C00">
        <w:rPr>
          <w:rFonts w:ascii="Arial" w:eastAsia="FangSong" w:hAnsi="Arial" w:cs="Arial"/>
          <w:b/>
          <w:sz w:val="24"/>
          <w:szCs w:val="24"/>
        </w:rPr>
        <w:t>. P</w:t>
      </w:r>
      <w:r w:rsidRPr="00BB4C00">
        <w:rPr>
          <w:rFonts w:ascii="Arial" w:hAnsi="Arial" w:cs="Arial"/>
          <w:b/>
          <w:iCs/>
          <w:sz w:val="24"/>
          <w:szCs w:val="24"/>
        </w:rPr>
        <w:t xml:space="preserve">latelet-specific </w:t>
      </w:r>
      <w:r w:rsidRPr="00BB4C00">
        <w:rPr>
          <w:rFonts w:ascii="Arial" w:hAnsi="Arial" w:cs="Arial"/>
          <w:b/>
          <w:color w:val="000000" w:themeColor="text1"/>
          <w:sz w:val="24"/>
          <w:szCs w:val="24"/>
        </w:rPr>
        <w:t>TGFβ deficiency alters CD4</w:t>
      </w:r>
      <w:r w:rsidRPr="00BB4C00">
        <w:rPr>
          <w:rFonts w:ascii="Arial" w:hAnsi="Arial" w:cs="Arial"/>
          <w:b/>
          <w:color w:val="000000" w:themeColor="text1"/>
          <w:sz w:val="24"/>
          <w:szCs w:val="24"/>
          <w:vertAlign w:val="superscript"/>
        </w:rPr>
        <w:t>+</w:t>
      </w:r>
      <w:r w:rsidRPr="00BB4C00">
        <w:rPr>
          <w:rFonts w:ascii="Arial" w:hAnsi="Arial" w:cs="Arial"/>
          <w:b/>
          <w:color w:val="000000" w:themeColor="text1"/>
          <w:sz w:val="24"/>
          <w:szCs w:val="24"/>
        </w:rPr>
        <w:t xml:space="preserve"> effector cell populations in the spleen and lymph nodes. </w:t>
      </w:r>
      <w:r w:rsidRPr="00BB4C00">
        <w:rPr>
          <w:rFonts w:ascii="Arial" w:hAnsi="Arial" w:cs="Arial"/>
          <w:sz w:val="24"/>
          <w:szCs w:val="24"/>
        </w:rPr>
        <w:t>Plt-TGF</w:t>
      </w:r>
      <w:r w:rsidRPr="00BB4C00">
        <w:rPr>
          <w:rFonts w:ascii="Arial" w:hAnsi="Arial" w:cs="Arial"/>
          <w:sz w:val="24"/>
          <w:szCs w:val="24"/>
        </w:rPr>
        <w:sym w:font="Symbol" w:char="F062"/>
      </w:r>
      <w:r w:rsidRPr="00BB4C00">
        <w:rPr>
          <w:rFonts w:ascii="Arial" w:hAnsi="Arial" w:cs="Arial"/>
          <w:sz w:val="24"/>
          <w:szCs w:val="24"/>
          <w:vertAlign w:val="superscript"/>
        </w:rPr>
        <w:t>−/−</w:t>
      </w:r>
      <w:r w:rsidRPr="00BB4C00">
        <w:rPr>
          <w:rFonts w:ascii="Arial" w:eastAsia="DengXian" w:hAnsi="Arial" w:cs="Arial"/>
          <w:sz w:val="24"/>
          <w:szCs w:val="24"/>
        </w:rPr>
        <w:t xml:space="preserve"> mice and their littermate control were fed with </w:t>
      </w:r>
      <w:r w:rsidRPr="00BB4C00">
        <w:rPr>
          <w:rFonts w:ascii="Arial" w:eastAsia="FangSong" w:hAnsi="Arial" w:cs="Arial"/>
          <w:bCs/>
          <w:sz w:val="24"/>
          <w:szCs w:val="24"/>
        </w:rPr>
        <w:t>a high-fat chow for 10 and 15 weeks. The spleen and lymph nodes were harvested for the preparation of single cell suspensions at both time points. Panel A: Flow cytometric phenotyping of CD4</w:t>
      </w:r>
      <w:r w:rsidRPr="00BB4C00">
        <w:rPr>
          <w:rFonts w:ascii="Arial" w:eastAsia="FangSong" w:hAnsi="Arial" w:cs="Arial"/>
          <w:bCs/>
          <w:sz w:val="24"/>
          <w:szCs w:val="24"/>
          <w:vertAlign w:val="superscript"/>
        </w:rPr>
        <w:t>+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 T effector cells, which were first stimulated using PMA (50 ng/ml) and ionomycin (5 µg/ml) </w:t>
      </w:r>
      <w:r w:rsidRPr="00BB4C00">
        <w:rPr>
          <w:rFonts w:ascii="Arial" w:eastAsia="FangSong" w:hAnsi="Arial" w:cs="Arial" w:hint="eastAsia"/>
          <w:bCs/>
          <w:sz w:val="24"/>
          <w:szCs w:val="24"/>
        </w:rPr>
        <w:t xml:space="preserve">for </w:t>
      </w:r>
      <w:r w:rsidRPr="00BB4C00">
        <w:rPr>
          <w:rFonts w:ascii="Arial" w:eastAsia="FangSong" w:hAnsi="Arial" w:cs="Arial"/>
          <w:bCs/>
          <w:sz w:val="24"/>
          <w:szCs w:val="24"/>
        </w:rPr>
        <w:t>2</w:t>
      </w:r>
      <w:r w:rsidRPr="00BB4C00">
        <w:rPr>
          <w:rFonts w:ascii="Arial" w:eastAsia="FangSong" w:hAnsi="Arial" w:cs="Arial" w:hint="eastAsia"/>
          <w:bCs/>
          <w:sz w:val="24"/>
          <w:szCs w:val="24"/>
        </w:rPr>
        <w:t xml:space="preserve"> hours</w:t>
      </w:r>
      <w:r w:rsidRPr="00BB4C00">
        <w:rPr>
          <w:rFonts w:ascii="Arial" w:eastAsia="FangSong" w:hAnsi="Arial" w:cs="Arial" w:hint="eastAsia"/>
          <w:bCs/>
          <w:sz w:val="24"/>
          <w:szCs w:val="24"/>
          <w:lang w:val="en-US"/>
        </w:rPr>
        <w:t xml:space="preserve">, 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and followed by adding </w:t>
      </w:r>
      <w:r w:rsidRPr="00BB4C00">
        <w:rPr>
          <w:rFonts w:ascii="Arial" w:eastAsia="FangSong" w:hAnsi="Arial" w:cs="Arial" w:hint="eastAsia"/>
          <w:bCs/>
          <w:sz w:val="24"/>
          <w:szCs w:val="24"/>
        </w:rPr>
        <w:t xml:space="preserve">brefeldin A 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(5 µM) for further incubation </w:t>
      </w:r>
      <w:r w:rsidRPr="00BB4C00">
        <w:rPr>
          <w:rFonts w:ascii="Arial" w:eastAsia="FangSong" w:hAnsi="Arial" w:cs="Arial" w:hint="eastAsia"/>
          <w:bCs/>
          <w:sz w:val="24"/>
          <w:szCs w:val="24"/>
        </w:rPr>
        <w:t xml:space="preserve">for </w:t>
      </w:r>
      <w:r w:rsidRPr="00BB4C00">
        <w:rPr>
          <w:rFonts w:ascii="Arial" w:eastAsia="FangSong" w:hAnsi="Arial" w:cs="Arial" w:hint="eastAsia"/>
          <w:bCs/>
          <w:sz w:val="24"/>
          <w:szCs w:val="24"/>
          <w:lang w:val="en-US"/>
        </w:rPr>
        <w:t>4</w:t>
      </w:r>
      <w:r w:rsidRPr="00BB4C00">
        <w:rPr>
          <w:rFonts w:ascii="Arial" w:eastAsia="FangSong" w:hAnsi="Arial" w:cs="Arial" w:hint="eastAsia"/>
          <w:bCs/>
          <w:sz w:val="24"/>
          <w:szCs w:val="24"/>
        </w:rPr>
        <w:t xml:space="preserve"> hours</w:t>
      </w:r>
      <w:r w:rsidRPr="00BB4C00">
        <w:rPr>
          <w:rFonts w:ascii="Arial" w:eastAsia="FangSong" w:hAnsi="Arial" w:cs="Arial"/>
          <w:bCs/>
          <w:sz w:val="24"/>
          <w:szCs w:val="24"/>
        </w:rPr>
        <w:t>. Representative pseudocolor plots. Panels B-C (10 W) and F-H (15 W): Th2 cells, CD4</w:t>
      </w:r>
      <w:r w:rsidRPr="00BB4C00">
        <w:rPr>
          <w:rFonts w:ascii="Arial" w:eastAsia="FangSong" w:hAnsi="Arial" w:cs="Arial"/>
          <w:bCs/>
          <w:sz w:val="24"/>
          <w:szCs w:val="24"/>
          <w:vertAlign w:val="superscript"/>
        </w:rPr>
        <w:t>+</w:t>
      </w:r>
      <w:r w:rsidRPr="00BB4C00">
        <w:rPr>
          <w:rFonts w:ascii="Arial" w:eastAsia="FangSong" w:hAnsi="Arial" w:cs="Arial"/>
          <w:bCs/>
          <w:sz w:val="24"/>
          <w:szCs w:val="24"/>
        </w:rPr>
        <w:t>-IL-4</w:t>
      </w:r>
      <w:r w:rsidRPr="00BB4C00">
        <w:rPr>
          <w:rFonts w:ascii="Arial" w:eastAsia="FangSong" w:hAnsi="Arial" w:cs="Arial"/>
          <w:bCs/>
          <w:sz w:val="24"/>
          <w:szCs w:val="24"/>
          <w:vertAlign w:val="superscript"/>
        </w:rPr>
        <w:t>+</w:t>
      </w:r>
      <w:r w:rsidRPr="00BB4C00">
        <w:rPr>
          <w:rFonts w:ascii="Arial" w:eastAsia="FangSong" w:hAnsi="Arial" w:cs="Arial"/>
          <w:bCs/>
          <w:sz w:val="24"/>
          <w:szCs w:val="24"/>
        </w:rPr>
        <w:t>. Panels D-E (10 W) and I-J (15 W): Th17 cells, CD4</w:t>
      </w:r>
      <w:r w:rsidRPr="00BB4C00">
        <w:rPr>
          <w:rFonts w:ascii="Arial" w:eastAsia="FangSong" w:hAnsi="Arial" w:cs="Arial"/>
          <w:bCs/>
          <w:sz w:val="24"/>
          <w:szCs w:val="24"/>
          <w:vertAlign w:val="superscript"/>
        </w:rPr>
        <w:t>+</w:t>
      </w:r>
      <w:r w:rsidRPr="00BB4C00">
        <w:rPr>
          <w:rFonts w:ascii="Arial" w:eastAsia="FangSong" w:hAnsi="Arial" w:cs="Arial"/>
          <w:bCs/>
          <w:sz w:val="24"/>
          <w:szCs w:val="24"/>
        </w:rPr>
        <w:t>-IL-17A</w:t>
      </w:r>
      <w:r w:rsidRPr="00BB4C00">
        <w:rPr>
          <w:rFonts w:ascii="Arial" w:eastAsia="FangSong" w:hAnsi="Arial" w:cs="Arial"/>
          <w:bCs/>
          <w:sz w:val="24"/>
          <w:szCs w:val="24"/>
          <w:vertAlign w:val="superscript"/>
        </w:rPr>
        <w:t>+</w:t>
      </w:r>
      <w:r w:rsidRPr="00BB4C00">
        <w:rPr>
          <w:rFonts w:ascii="Arial" w:eastAsia="FangSong" w:hAnsi="Arial" w:cs="Arial"/>
          <w:bCs/>
          <w:sz w:val="24"/>
          <w:szCs w:val="24"/>
        </w:rPr>
        <w:t>. *</w:t>
      </w:r>
      <w:r w:rsidRPr="00BB4C00">
        <w:rPr>
          <w:rFonts w:ascii="Arial" w:eastAsia="FangSong" w:hAnsi="Arial" w:cs="Arial"/>
          <w:bCs/>
          <w:i/>
          <w:sz w:val="24"/>
          <w:szCs w:val="24"/>
        </w:rPr>
        <w:t>p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&lt;0.05 as compared to controls by Student’s </w:t>
      </w:r>
      <w:r w:rsidRPr="00BB4C00">
        <w:rPr>
          <w:rFonts w:ascii="Arial" w:eastAsia="FangSong" w:hAnsi="Arial" w:cs="Arial"/>
          <w:bCs/>
          <w:i/>
          <w:sz w:val="24"/>
          <w:szCs w:val="24"/>
        </w:rPr>
        <w:t>t</w:t>
      </w:r>
      <w:r w:rsidRPr="00BB4C00">
        <w:rPr>
          <w:rFonts w:ascii="Arial" w:eastAsia="FangSong" w:hAnsi="Arial" w:cs="Arial"/>
          <w:bCs/>
          <w:sz w:val="24"/>
          <w:szCs w:val="24"/>
        </w:rPr>
        <w:t>-test</w:t>
      </w:r>
      <w:r w:rsidRPr="00BB4C00">
        <w:rPr>
          <w:rFonts w:ascii="Arial" w:eastAsia="DengXian" w:hAnsi="Arial" w:cs="Arial"/>
          <w:sz w:val="24"/>
          <w:szCs w:val="24"/>
        </w:rPr>
        <w:t>,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 </w:t>
      </w:r>
      <w:r w:rsidRPr="009320CA">
        <w:rPr>
          <w:rFonts w:ascii="Arial" w:eastAsia="FangSong" w:hAnsi="Arial" w:cs="Arial"/>
          <w:bCs/>
          <w:sz w:val="24"/>
          <w:szCs w:val="24"/>
        </w:rPr>
        <w:t>n=</w:t>
      </w:r>
      <w:r w:rsidRPr="009320CA">
        <w:rPr>
          <w:rFonts w:ascii="Arial" w:eastAsia="FangSong" w:hAnsi="Arial" w:cs="Arial"/>
          <w:bCs/>
          <w:sz w:val="24"/>
          <w:szCs w:val="24"/>
          <w:lang w:val="en-US"/>
        </w:rPr>
        <w:t>4-9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. </w:t>
      </w:r>
    </w:p>
    <w:p w14:paraId="446F7393" w14:textId="77777777" w:rsidR="00C471C1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4"/>
          <w:szCs w:val="24"/>
        </w:rPr>
      </w:pPr>
    </w:p>
    <w:p w14:paraId="02B1A852" w14:textId="77777777" w:rsidR="00C471C1" w:rsidRPr="00407476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2"/>
        </w:rPr>
      </w:pPr>
      <w:r>
        <w:rPr>
          <w:rFonts w:ascii="Arial" w:eastAsia="FangSong" w:hAnsi="Arial" w:cs="Arial"/>
          <w:b/>
          <w:sz w:val="24"/>
          <w:szCs w:val="24"/>
        </w:rPr>
        <w:br w:type="column"/>
      </w:r>
      <w:r w:rsidRPr="00407476">
        <w:rPr>
          <w:rFonts w:ascii="Arial" w:eastAsia="FangSong" w:hAnsi="Arial" w:cs="Arial"/>
          <w:b/>
          <w:sz w:val="24"/>
          <w:szCs w:val="24"/>
        </w:rPr>
        <w:lastRenderedPageBreak/>
        <w:t xml:space="preserve">Supplementary Figure </w:t>
      </w:r>
      <w:r>
        <w:rPr>
          <w:rFonts w:ascii="Arial" w:eastAsia="FangSong" w:hAnsi="Arial" w:cs="Arial"/>
          <w:b/>
          <w:sz w:val="24"/>
          <w:szCs w:val="24"/>
        </w:rPr>
        <w:t>2</w:t>
      </w:r>
      <w:r w:rsidRPr="00407476">
        <w:rPr>
          <w:rFonts w:ascii="Arial" w:eastAsia="FangSong" w:hAnsi="Arial" w:cs="Arial"/>
          <w:b/>
          <w:sz w:val="24"/>
          <w:szCs w:val="24"/>
        </w:rPr>
        <w:t xml:space="preserve"> </w:t>
      </w:r>
    </w:p>
    <w:p w14:paraId="74930410" w14:textId="77777777" w:rsidR="00C471C1" w:rsidRDefault="00C471C1" w:rsidP="00C471C1">
      <w:pPr>
        <w:widowControl/>
        <w:spacing w:after="240" w:line="480" w:lineRule="auto"/>
        <w:jc w:val="left"/>
        <w:rPr>
          <w:rFonts w:ascii="Arial" w:eastAsia="FangSong" w:hAnsi="Arial" w:cs="Arial"/>
          <w:b/>
          <w:sz w:val="24"/>
          <w:szCs w:val="24"/>
        </w:rPr>
      </w:pPr>
      <w:r>
        <w:rPr>
          <w:rFonts w:ascii="Arial" w:eastAsia="FangSong" w:hAnsi="Arial" w:cs="Arial"/>
          <w:b/>
          <w:noProof/>
          <w:sz w:val="24"/>
          <w:szCs w:val="24"/>
        </w:rPr>
        <w:drawing>
          <wp:inline distT="0" distB="0" distL="0" distR="0" wp14:anchorId="3700E711" wp14:editId="38AD4866">
            <wp:extent cx="5274310" cy="1883410"/>
            <wp:effectExtent l="0" t="0" r="0" b="0"/>
            <wp:docPr id="1052253819" name="Picture 1052253819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420246" name="Picture 3" descr="A close-up of a grap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FD572" w14:textId="77777777" w:rsidR="00C471C1" w:rsidRDefault="00C471C1" w:rsidP="00C471C1">
      <w:pPr>
        <w:widowControl/>
        <w:spacing w:after="240"/>
        <w:jc w:val="left"/>
        <w:rPr>
          <w:rFonts w:ascii="Arial" w:eastAsia="Times New Roman" w:hAnsi="Arial" w:cs="Arial"/>
          <w:sz w:val="24"/>
          <w:szCs w:val="24"/>
          <w:lang w:val="en-US"/>
        </w:rPr>
      </w:pPr>
      <w:r w:rsidRPr="00BB4C00">
        <w:rPr>
          <w:rFonts w:ascii="Arial" w:eastAsia="FangSong" w:hAnsi="Arial" w:cs="Arial"/>
          <w:b/>
          <w:sz w:val="24"/>
          <w:szCs w:val="24"/>
        </w:rPr>
        <w:t xml:space="preserve">Supplementary Figure </w:t>
      </w:r>
      <w:r>
        <w:rPr>
          <w:rFonts w:ascii="Arial" w:eastAsia="FangSong" w:hAnsi="Arial" w:cs="Arial"/>
          <w:b/>
          <w:sz w:val="24"/>
          <w:szCs w:val="24"/>
        </w:rPr>
        <w:t>2</w:t>
      </w:r>
      <w:r w:rsidRPr="00BB4C00">
        <w:rPr>
          <w:rFonts w:ascii="Arial" w:eastAsia="FangSong" w:hAnsi="Arial" w:cs="Arial"/>
          <w:b/>
          <w:sz w:val="24"/>
          <w:szCs w:val="24"/>
        </w:rPr>
        <w:t xml:space="preserve">. Altered </w:t>
      </w:r>
      <w:r w:rsidRPr="00BB4C00">
        <w:rPr>
          <w:rFonts w:ascii="Arial" w:hAnsi="Arial" w:cs="Arial"/>
          <w:b/>
          <w:color w:val="000000" w:themeColor="text1"/>
          <w:sz w:val="24"/>
          <w:szCs w:val="24"/>
        </w:rPr>
        <w:t xml:space="preserve">transcriptomic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and </w:t>
      </w:r>
      <w:r w:rsidRPr="00BB4C00">
        <w:rPr>
          <w:rFonts w:ascii="Arial" w:hAnsi="Arial" w:cs="Arial"/>
          <w:b/>
          <w:color w:val="000000" w:themeColor="text1"/>
          <w:sz w:val="24"/>
          <w:szCs w:val="24"/>
        </w:rPr>
        <w:t>proteomic landscape in aortas from mice with p</w:t>
      </w:r>
      <w:r w:rsidRPr="00BB4C00">
        <w:rPr>
          <w:rFonts w:ascii="Arial" w:hAnsi="Arial" w:cs="Arial"/>
          <w:b/>
          <w:iCs/>
          <w:sz w:val="24"/>
          <w:szCs w:val="24"/>
        </w:rPr>
        <w:t xml:space="preserve">latelet-specific </w:t>
      </w:r>
      <w:r w:rsidRPr="00BB4C00">
        <w:rPr>
          <w:rFonts w:ascii="Arial" w:hAnsi="Arial" w:cs="Arial"/>
          <w:b/>
          <w:color w:val="000000" w:themeColor="text1"/>
          <w:sz w:val="24"/>
          <w:szCs w:val="24"/>
        </w:rPr>
        <w:t xml:space="preserve">TGFβ deficiency. </w:t>
      </w:r>
      <w:r w:rsidRPr="00BB4C00">
        <w:rPr>
          <w:rFonts w:ascii="Arial" w:hAnsi="Arial" w:cs="Arial"/>
          <w:sz w:val="24"/>
          <w:szCs w:val="24"/>
        </w:rPr>
        <w:t>Plt-TGF</w:t>
      </w:r>
      <w:r w:rsidRPr="00BB4C00">
        <w:rPr>
          <w:rFonts w:ascii="Arial" w:hAnsi="Arial" w:cs="Arial"/>
          <w:sz w:val="24"/>
          <w:szCs w:val="24"/>
        </w:rPr>
        <w:sym w:font="Symbol" w:char="F062"/>
      </w:r>
      <w:r w:rsidRPr="00BB4C00">
        <w:rPr>
          <w:rFonts w:ascii="Arial" w:hAnsi="Arial" w:cs="Arial"/>
          <w:sz w:val="24"/>
          <w:szCs w:val="24"/>
          <w:vertAlign w:val="superscript"/>
        </w:rPr>
        <w:t>−/−</w:t>
      </w:r>
      <w:r w:rsidRPr="00BB4C00">
        <w:rPr>
          <w:rFonts w:ascii="Arial" w:eastAsia="DengXian" w:hAnsi="Arial" w:cs="Arial"/>
          <w:sz w:val="24"/>
          <w:szCs w:val="24"/>
        </w:rPr>
        <w:t xml:space="preserve"> mice and littermate controls were fed </w:t>
      </w:r>
      <w:r w:rsidRPr="00BB4C00">
        <w:rPr>
          <w:rFonts w:ascii="Arial" w:eastAsia="FangSong" w:hAnsi="Arial" w:cs="Arial"/>
          <w:bCs/>
          <w:sz w:val="24"/>
          <w:szCs w:val="24"/>
        </w:rPr>
        <w:t>a high-fat diet for 15 weeks. The whole aorta was harvested, snap-frozen, and stored at -80°C for subsequent total RNA and p</w:t>
      </w:r>
      <w:r w:rsidRPr="00BB4C00">
        <w:rPr>
          <w:rFonts w:ascii="Arial" w:hAnsi="Arial" w:cs="Arial"/>
          <w:color w:val="000000"/>
          <w:sz w:val="24"/>
          <w:szCs w:val="24"/>
          <w:lang w:val="en-US"/>
        </w:rPr>
        <w:t xml:space="preserve">rotein 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isolation using </w:t>
      </w:r>
      <w:r w:rsidRPr="00BB4C00">
        <w:rPr>
          <w:rFonts w:ascii="Arial" w:hAnsi="Arial" w:cs="Arial"/>
          <w:color w:val="000000"/>
          <w:sz w:val="24"/>
          <w:szCs w:val="24"/>
          <w:lang w:val="en-US"/>
        </w:rPr>
        <w:t>Qiazol reagent and isopropanol precipitation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. RNA sequencing was performed using the </w:t>
      </w:r>
      <w:r w:rsidRPr="00BB4C00">
        <w:rPr>
          <w:rFonts w:ascii="Arial" w:eastAsia="Times New Roman" w:hAnsi="Arial" w:cs="Arial"/>
          <w:sz w:val="24"/>
          <w:szCs w:val="24"/>
        </w:rPr>
        <w:t>DNBSEQ™ Technology Platform,</w:t>
      </w:r>
      <w:r w:rsidRPr="00BB4C00">
        <w:rPr>
          <w:rFonts w:ascii="Arial" w:eastAsia="Times New Roman" w:hAnsi="Arial" w:cs="Arial"/>
          <w:sz w:val="24"/>
          <w:szCs w:val="24"/>
          <w:lang w:val="en-US"/>
        </w:rPr>
        <w:t xml:space="preserve"> and </w:t>
      </w:r>
      <w:r w:rsidRPr="00BB4C00">
        <w:rPr>
          <w:rFonts w:ascii="Arial" w:eastAsia="FangSong" w:hAnsi="Arial" w:cs="Arial"/>
          <w:bCs/>
          <w:sz w:val="24"/>
          <w:szCs w:val="24"/>
        </w:rPr>
        <w:t xml:space="preserve">mass spectrometric analyses and proteome profiling were carried out </w:t>
      </w:r>
      <w:r w:rsidRPr="00BB4C00">
        <w:rPr>
          <w:rFonts w:ascii="Arial" w:eastAsia="Times New Roman" w:hAnsi="Arial" w:cs="Arial"/>
          <w:sz w:val="24"/>
          <w:szCs w:val="24"/>
          <w:lang w:val="en-US"/>
        </w:rPr>
        <w:t xml:space="preserve">at BGI (Shenzheng, China). Data were analysed using the Dr. Tom program. Panel A: GO enrichment analysis of </w:t>
      </w:r>
      <w:r w:rsidRPr="00BB4C00">
        <w:rPr>
          <w:rFonts w:ascii="Arial" w:eastAsia="FangSong" w:hAnsi="Arial" w:cs="Arial"/>
          <w:bCs/>
          <w:sz w:val="24"/>
          <w:szCs w:val="24"/>
        </w:rPr>
        <w:t>RNA sequencing</w:t>
      </w:r>
      <w:r w:rsidRPr="00BB4C00">
        <w:rPr>
          <w:rFonts w:ascii="Arial" w:eastAsia="Times New Roman" w:hAnsi="Arial" w:cs="Arial"/>
          <w:sz w:val="24"/>
          <w:szCs w:val="24"/>
          <w:lang w:val="en-US"/>
        </w:rPr>
        <w:t xml:space="preserve">. </w:t>
      </w:r>
      <w:r w:rsidRPr="00BB4C00">
        <w:rPr>
          <w:rFonts w:ascii="Arial" w:hAnsi="Arial" w:cs="Arial"/>
          <w:color w:val="000000"/>
          <w:sz w:val="24"/>
          <w:szCs w:val="24"/>
          <w:lang w:val="en-US"/>
        </w:rPr>
        <w:t xml:space="preserve">Panel B: </w:t>
      </w:r>
      <w:r w:rsidRPr="00BB4C00">
        <w:rPr>
          <w:rFonts w:ascii="Arial" w:eastAsia="Times New Roman" w:hAnsi="Arial" w:cs="Arial"/>
          <w:sz w:val="24"/>
          <w:szCs w:val="24"/>
          <w:lang w:val="en-US"/>
        </w:rPr>
        <w:t>GO enrichment analysis of aorta proteomic data. n=3-5.</w:t>
      </w:r>
    </w:p>
    <w:p w14:paraId="457C5C17" w14:textId="77777777" w:rsidR="00C471C1" w:rsidRDefault="00C471C1" w:rsidP="00C471C1">
      <w:pPr>
        <w:spacing w:after="240" w:line="480" w:lineRule="auto"/>
        <w:jc w:val="left"/>
        <w:rPr>
          <w:rFonts w:ascii="Arial" w:eastAsia="FangSong" w:hAnsi="Arial" w:cs="Arial"/>
          <w:b/>
          <w:sz w:val="28"/>
          <w:szCs w:val="28"/>
        </w:rPr>
      </w:pPr>
    </w:p>
    <w:p w14:paraId="4EE5CADA" w14:textId="77777777" w:rsidR="00C471C1" w:rsidRPr="00C735D5" w:rsidRDefault="00C471C1" w:rsidP="00C471C1">
      <w:pPr>
        <w:spacing w:after="240"/>
        <w:jc w:val="left"/>
        <w:rPr>
          <w:rFonts w:ascii="Arial" w:eastAsia="FangSong" w:hAnsi="Arial" w:cs="Arial"/>
          <w:b/>
          <w:sz w:val="28"/>
          <w:szCs w:val="28"/>
        </w:rPr>
      </w:pPr>
    </w:p>
    <w:p w14:paraId="527AA404" w14:textId="77777777" w:rsidR="0038214D" w:rsidRDefault="0038214D"/>
    <w:sectPr w:rsidR="0038214D" w:rsidSect="00C471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520" w:left="1800" w:header="851" w:footer="992" w:gutter="0"/>
      <w:lnNumType w:countBy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47897150"/>
    </w:sdtPr>
    <w:sdtContent>
      <w:p w14:paraId="2C16D778" w14:textId="77777777" w:rsidR="00000000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354DFE1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Arial" w:hAnsi="Arial" w:cs="Arial"/>
        <w:sz w:val="24"/>
        <w:szCs w:val="24"/>
      </w:rPr>
      <w:id w:val="-698006052"/>
    </w:sdtPr>
    <w:sdtContent>
      <w:p w14:paraId="040EDD32" w14:textId="77777777" w:rsidR="00000000" w:rsidRDefault="00000000">
        <w:pPr>
          <w:pStyle w:val="Footer"/>
          <w:framePr w:wrap="auto" w:vAnchor="text" w:hAnchor="margin" w:xAlign="center" w:y="1"/>
          <w:rPr>
            <w:rStyle w:val="PageNumber"/>
            <w:rFonts w:ascii="Arial" w:hAnsi="Arial" w:cs="Arial"/>
            <w:sz w:val="24"/>
            <w:szCs w:val="24"/>
          </w:rPr>
        </w:pPr>
        <w:r>
          <w:rPr>
            <w:rStyle w:val="PageNumber"/>
            <w:rFonts w:ascii="Arial" w:hAnsi="Arial" w:cs="Arial"/>
            <w:sz w:val="24"/>
            <w:szCs w:val="24"/>
          </w:rPr>
          <w:fldChar w:fldCharType="begin"/>
        </w:r>
        <w:r>
          <w:rPr>
            <w:rStyle w:val="PageNumber"/>
            <w:rFonts w:ascii="Arial" w:hAnsi="Arial" w:cs="Arial"/>
            <w:sz w:val="24"/>
            <w:szCs w:val="24"/>
          </w:rPr>
          <w:instrText xml:space="preserve"> PAGE </w:instrText>
        </w:r>
        <w:r>
          <w:rPr>
            <w:rStyle w:val="PageNumber"/>
            <w:rFonts w:ascii="Arial" w:hAnsi="Arial" w:cs="Arial"/>
            <w:sz w:val="24"/>
            <w:szCs w:val="24"/>
          </w:rPr>
          <w:fldChar w:fldCharType="separate"/>
        </w:r>
        <w:r>
          <w:rPr>
            <w:rStyle w:val="PageNumber"/>
            <w:rFonts w:ascii="Arial" w:hAnsi="Arial" w:cs="Arial"/>
            <w:sz w:val="24"/>
            <w:szCs w:val="24"/>
          </w:rPr>
          <w:t>33</w:t>
        </w:r>
        <w:r>
          <w:rPr>
            <w:rStyle w:val="PageNumber"/>
            <w:rFonts w:ascii="Arial" w:hAnsi="Arial" w:cs="Arial"/>
            <w:sz w:val="24"/>
            <w:szCs w:val="24"/>
          </w:rPr>
          <w:fldChar w:fldCharType="end"/>
        </w:r>
      </w:p>
    </w:sdtContent>
  </w:sdt>
  <w:p w14:paraId="49487FF6" w14:textId="77777777" w:rsidR="00000000" w:rsidRDefault="00000000">
    <w:pPr>
      <w:rPr>
        <w:rFonts w:ascii="Arial" w:hAnsi="Arial"/>
        <w:sz w:val="24"/>
        <w:lang w:eastAsia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F425C9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F46FF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EE95C" w14:textId="77777777" w:rsidR="00000000" w:rsidRPr="00FB0327" w:rsidRDefault="00000000">
    <w:pPr>
      <w:pStyle w:val="Header"/>
      <w:rPr>
        <w:rFonts w:ascii="Arial" w:hAnsi="Arial" w:cs="Arial"/>
        <w:i/>
        <w:iCs/>
        <w:sz w:val="24"/>
        <w:szCs w:val="36"/>
        <w:lang w:val="sv-SE"/>
      </w:rPr>
    </w:pPr>
    <w:r w:rsidRPr="00FB0327">
      <w:rPr>
        <w:rFonts w:ascii="Arial" w:hAnsi="Arial" w:cs="Arial"/>
        <w:i/>
        <w:iCs/>
        <w:sz w:val="24"/>
        <w:szCs w:val="36"/>
        <w:lang w:val="sv-SE"/>
      </w:rPr>
      <w:t>CMLS submission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B49E1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1C1"/>
    <w:rsid w:val="00235F39"/>
    <w:rsid w:val="0038214D"/>
    <w:rsid w:val="00A221EB"/>
    <w:rsid w:val="00AD7A41"/>
    <w:rsid w:val="00AE732B"/>
    <w:rsid w:val="00C471C1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AB3B4"/>
  <w15:chartTrackingRefBased/>
  <w15:docId w15:val="{34D45162-FA8B-4E6C-ACE2-5651326F4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1C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1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71C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71C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71C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71C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71C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71C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71C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71C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71C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71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71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71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71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71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71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71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71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71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71C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71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71C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71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71C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71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71C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71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71C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71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71C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C47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C471C1"/>
    <w:rPr>
      <w:rFonts w:ascii="Times New Roman" w:eastAsia="SimSun" w:hAnsi="Times New Roman" w:cs="Times New Roman"/>
      <w:kern w:val="0"/>
      <w:sz w:val="18"/>
      <w:szCs w:val="18"/>
      <w:lang w:val="en-GB" w:eastAsia="zh-CN"/>
      <w14:ligatures w14:val="none"/>
    </w:rPr>
  </w:style>
  <w:style w:type="paragraph" w:styleId="Header">
    <w:name w:val="header"/>
    <w:basedOn w:val="Normal"/>
    <w:link w:val="HeaderChar"/>
    <w:qFormat/>
    <w:rsid w:val="00C471C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C471C1"/>
    <w:rPr>
      <w:rFonts w:ascii="Times New Roman" w:eastAsia="SimSun" w:hAnsi="Times New Roman" w:cs="Times New Roman"/>
      <w:kern w:val="0"/>
      <w:sz w:val="18"/>
      <w:szCs w:val="22"/>
      <w:lang w:val="en-GB" w:eastAsia="zh-CN"/>
      <w14:ligatures w14:val="none"/>
    </w:rPr>
  </w:style>
  <w:style w:type="character" w:styleId="PageNumber">
    <w:name w:val="page number"/>
    <w:basedOn w:val="DefaultParagraphFont"/>
    <w:qFormat/>
    <w:rsid w:val="00C471C1"/>
  </w:style>
  <w:style w:type="character" w:customStyle="1" w:styleId="highlight">
    <w:name w:val="highlight"/>
    <w:qFormat/>
    <w:rsid w:val="00C471C1"/>
  </w:style>
  <w:style w:type="character" w:styleId="LineNumber">
    <w:name w:val="line number"/>
    <w:basedOn w:val="DefaultParagraphFont"/>
    <w:uiPriority w:val="99"/>
    <w:semiHidden/>
    <w:unhideWhenUsed/>
    <w:rsid w:val="00C47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jpeg"/><Relationship Id="rId10" Type="http://schemas.openxmlformats.org/officeDocument/2006/relationships/header" Target="header3.xml"/><Relationship Id="rId4" Type="http://schemas.openxmlformats.org/officeDocument/2006/relationships/image" Target="media/image1.jpe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803</Words>
  <Characters>4581</Characters>
  <Application>Microsoft Office Word</Application>
  <DocSecurity>0</DocSecurity>
  <Lines>38</Lines>
  <Paragraphs>10</Paragraphs>
  <ScaleCrop>false</ScaleCrop>
  <Company>Springer Nature</Company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2024-11-27T16:19:00Z</dcterms:created>
  <dcterms:modified xsi:type="dcterms:W3CDTF">2024-11-27T16:19:00Z</dcterms:modified>
</cp:coreProperties>
</file>