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8FADF" w14:textId="77777777" w:rsidR="000251D1" w:rsidRPr="008703CC" w:rsidRDefault="000251D1" w:rsidP="000251D1">
      <w:pPr>
        <w:rPr>
          <w:rFonts w:cs="Times New Roman"/>
          <w:sz w:val="20"/>
          <w:szCs w:val="20"/>
        </w:rPr>
      </w:pPr>
      <w:r w:rsidRPr="008703CC">
        <w:rPr>
          <w:rFonts w:cs="Times New Roman"/>
          <w:sz w:val="20"/>
          <w:szCs w:val="20"/>
        </w:rPr>
        <w:t>The reduction in atmospheric precipitation, along with the growing gap between water resources and consumption, especially in agriculture, has disrupted the water balance of the Urmia Lake watershed. In this study, the MODSIM model was used as a decision-support tool to simulate three scenarios examining the status of water resources and uses in the Urmia Basin (S), a 40% reduction in agricultural uses (S1), domestic wastewater treatment and return of effluent to the water resources of the Urmia Lake watershed (S2), and a 45% increase in drinking and industrial uses due to population growth and a 245% increase in agricultural uses due to agricultural development (S3) until the year 2041.</w:t>
      </w:r>
    </w:p>
    <w:p w14:paraId="0F1D1535" w14:textId="77777777" w:rsidR="000251D1" w:rsidRPr="008703CC" w:rsidRDefault="000251D1" w:rsidP="000251D1">
      <w:pPr>
        <w:rPr>
          <w:rFonts w:cs="Times New Roman"/>
          <w:sz w:val="20"/>
          <w:szCs w:val="20"/>
        </w:rPr>
      </w:pPr>
      <w:r w:rsidRPr="008703CC">
        <w:rPr>
          <w:rFonts w:cs="Times New Roman"/>
          <w:sz w:val="20"/>
          <w:szCs w:val="20"/>
        </w:rPr>
        <w:t>Subsequently, the SWOT and QSPM models were utilized to analyze and prioritize strategies. The findings indicated that the monthly volumes of water inflow and stored in Urmia Lake in scenarios S1, S2, and S3 would respectively be 22.8%, 8.4%, -38%, 14.3%, 5.3%, and -42.9%. Meanwhile, the average monthly evaporation volumes will respectively be 17.5%, 5.9%, and -19.8%. Based on these results, scenario S1 is identified as the optimal management strategy.</w:t>
      </w:r>
    </w:p>
    <w:p w14:paraId="69C33DB6" w14:textId="77777777" w:rsidR="000251D1" w:rsidRPr="008703CC" w:rsidRDefault="000251D1" w:rsidP="000251D1">
      <w:pPr>
        <w:rPr>
          <w:rFonts w:cs="Times New Roman"/>
          <w:sz w:val="20"/>
          <w:szCs w:val="20"/>
        </w:rPr>
      </w:pPr>
      <w:r w:rsidRPr="008703CC">
        <w:rPr>
          <w:rFonts w:cs="Times New Roman"/>
          <w:sz w:val="20"/>
          <w:szCs w:val="20"/>
        </w:rPr>
        <w:t>The findings indicated that, based on the IFE score of 2.986 and EFE score of 3.068 in the SWOT matrix, there is a necessity for conservative strategies (WO) to exploit internal opportunities to compensate for weaknesses. In the QSPM model, among the five presented conservative strategies, the most crucial strategy identified was "crop pattern modification and use of high-yield, water-efficient cultivars through demand management programs," with a score of 5.61. The results of this study can be utilized to envisage an appropriate outlook on the future state of the watershed in order to adopt decision-making policies and planning toward the optimal use of water resources.</w:t>
      </w:r>
    </w:p>
    <w:p w14:paraId="4A11063E" w14:textId="77777777" w:rsidR="00056E19" w:rsidRPr="000251D1" w:rsidRDefault="00056E19" w:rsidP="000251D1"/>
    <w:sectPr w:rsidR="00056E19" w:rsidRPr="000251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19"/>
    <w:rsid w:val="000251D1"/>
    <w:rsid w:val="00056E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1E49A"/>
  <w15:chartTrackingRefBased/>
  <w15:docId w15:val="{34E2A5FA-68E2-47E8-8AF5-68E20E90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E19"/>
    <w:pPr>
      <w:jc w:val="both"/>
    </w:pPr>
    <w:rPr>
      <w:rFonts w:ascii="Times New Roman" w:hAnsi="Times New Roman" w:cs="B Nazanin"/>
      <w:kern w:val="0"/>
      <w:sz w:val="24"/>
      <w:szCs w:val="28"/>
      <w:lang w:bidi="fa-I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1562</Characters>
  <Application>Microsoft Office Word</Application>
  <DocSecurity>0</DocSecurity>
  <Lines>13</Lines>
  <Paragraphs>3</Paragraphs>
  <ScaleCrop>false</ScaleCrop>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Rocco Raad</dc:creator>
  <cp:keywords/>
  <dc:description/>
  <cp:lastModifiedBy>Rocco Raad</cp:lastModifiedBy>
  <cp:revision>2</cp:revision>
  <dcterms:created xsi:type="dcterms:W3CDTF">2024-10-26T07:49:00Z</dcterms:created>
  <dcterms:modified xsi:type="dcterms:W3CDTF">2024-10-26T07:49:00Z</dcterms:modified>
</cp:coreProperties>
</file>