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55F05F" w14:textId="77777777" w:rsidR="00D910F4" w:rsidRPr="00751926" w:rsidRDefault="00D910F4" w:rsidP="00D910F4">
      <w:pPr>
        <w:widowControl/>
        <w:spacing w:line="480" w:lineRule="auto"/>
        <w:jc w:val="left"/>
        <w:rPr>
          <w:rFonts w:ascii="Times New Roman" w:eastAsia="SimSun" w:hAnsi="Times New Roman"/>
          <w:sz w:val="24"/>
          <w:szCs w:val="24"/>
        </w:rPr>
      </w:pPr>
      <w:r>
        <w:rPr>
          <w:rFonts w:ascii="Times New Roman" w:eastAsia="SimSun" w:hAnsi="Times New Roman"/>
          <w:b/>
          <w:bCs/>
          <w:szCs w:val="28"/>
        </w:rPr>
        <w:t>Supplementary Figure</w:t>
      </w:r>
      <w:r>
        <w:rPr>
          <w:rFonts w:ascii="Times New Roman" w:eastAsia="SimSun" w:hAnsi="Times New Roman" w:hint="eastAsia"/>
          <w:b/>
          <w:bCs/>
          <w:szCs w:val="28"/>
        </w:rPr>
        <w:t xml:space="preserve"> legends</w:t>
      </w:r>
    </w:p>
    <w:p w14:paraId="7DF361C5" w14:textId="77777777" w:rsidR="00D910F4" w:rsidRDefault="00D910F4" w:rsidP="00D910F4">
      <w:pPr>
        <w:spacing w:line="480" w:lineRule="auto"/>
        <w:rPr>
          <w:rFonts w:ascii="Times New Roman" w:eastAsia="SimSun" w:hAnsi="Times New Roman" w:cs="Arial"/>
          <w:kern w:val="0"/>
          <w:szCs w:val="21"/>
        </w:rPr>
      </w:pPr>
      <w:r w:rsidRPr="008174A5">
        <w:rPr>
          <w:rFonts w:ascii="Times New Roman" w:eastAsia="SimSun" w:hAnsi="Times New Roman" w:cs="Arial"/>
          <w:b/>
          <w:bCs/>
          <w:kern w:val="0"/>
          <w:szCs w:val="21"/>
        </w:rPr>
        <w:t xml:space="preserve">Supplementary </w:t>
      </w:r>
      <w:r>
        <w:rPr>
          <w:rFonts w:ascii="Times New Roman" w:eastAsia="SimSun" w:hAnsi="Times New Roman" w:cs="Arial" w:hint="eastAsia"/>
          <w:b/>
          <w:bCs/>
          <w:kern w:val="0"/>
          <w:szCs w:val="21"/>
        </w:rPr>
        <w:t>f</w:t>
      </w:r>
      <w:r w:rsidRPr="008174A5">
        <w:rPr>
          <w:rFonts w:ascii="Times New Roman" w:eastAsia="SimSun" w:hAnsi="Times New Roman" w:cs="Arial"/>
          <w:b/>
          <w:bCs/>
          <w:kern w:val="0"/>
          <w:szCs w:val="21"/>
        </w:rPr>
        <w:t xml:space="preserve">igure 1. Trial design of RENAISSANCE study. </w:t>
      </w:r>
      <w:r>
        <w:rPr>
          <w:rFonts w:ascii="Times New Roman" w:eastAsia="SimSun" w:hAnsi="Times New Roman" w:cs="Arial"/>
          <w:kern w:val="0"/>
          <w:szCs w:val="21"/>
        </w:rPr>
        <w:t>Study eligibility involved stage IIB-IIIB, wildtype EGFR/ALK NSCLC Patients over 18 years old with ECOG PS 0-1 status. Patients received 2-4 cycles of toripalimab (240mg, q3w) plus cisplatin</w:t>
      </w:r>
      <w:r>
        <w:rPr>
          <w:rFonts w:ascii="Times New Roman" w:eastAsia="SimSun" w:hAnsi="Times New Roman" w:cs="Arial" w:hint="eastAsia"/>
          <w:kern w:val="0"/>
          <w:szCs w:val="21"/>
        </w:rPr>
        <w:t>-</w:t>
      </w:r>
      <w:r>
        <w:rPr>
          <w:rFonts w:ascii="Times New Roman" w:eastAsia="SimSun" w:hAnsi="Times New Roman" w:cs="Arial"/>
          <w:kern w:val="0"/>
          <w:szCs w:val="21"/>
        </w:rPr>
        <w:t>based chemotherapy before surgery. After the second treatment cycle, imaging/surgical indication evaluation was performed within 3 weeks. Patients who cannot undergo surgery will be reassessed after another 1-2 cycles of neoadjuvant therapy. Primary endpoint was major pathological response (MPR), secondary endpoints were pathological complete response (pCR), objective response rate (ORR), event-free survival (EFS), R0 resection rate and safety.</w:t>
      </w:r>
    </w:p>
    <w:p w14:paraId="7CFACD08" w14:textId="77777777" w:rsidR="00D910F4" w:rsidRDefault="00D910F4" w:rsidP="00D910F4">
      <w:pPr>
        <w:spacing w:line="480" w:lineRule="auto"/>
        <w:rPr>
          <w:rFonts w:ascii="Times New Roman" w:eastAsia="SimSun" w:hAnsi="Times New Roman" w:cs="Arial"/>
          <w:kern w:val="0"/>
          <w:szCs w:val="21"/>
        </w:rPr>
      </w:pPr>
      <w:r w:rsidRPr="008174A5">
        <w:rPr>
          <w:rFonts w:ascii="Times New Roman" w:eastAsia="SimSun" w:hAnsi="Times New Roman" w:cs="Arial"/>
          <w:b/>
          <w:bCs/>
          <w:kern w:val="0"/>
          <w:szCs w:val="21"/>
        </w:rPr>
        <w:t xml:space="preserve">Supplementary </w:t>
      </w:r>
      <w:r>
        <w:rPr>
          <w:rFonts w:ascii="Times New Roman" w:eastAsia="SimSun" w:hAnsi="Times New Roman" w:cs="Arial" w:hint="eastAsia"/>
          <w:b/>
          <w:bCs/>
          <w:kern w:val="0"/>
          <w:szCs w:val="21"/>
        </w:rPr>
        <w:t>f</w:t>
      </w:r>
      <w:r w:rsidRPr="008174A5">
        <w:rPr>
          <w:rFonts w:ascii="Times New Roman" w:eastAsia="SimSun" w:hAnsi="Times New Roman" w:cs="Arial"/>
          <w:b/>
          <w:bCs/>
          <w:kern w:val="0"/>
          <w:szCs w:val="21"/>
        </w:rPr>
        <w:t>igure 2.</w:t>
      </w:r>
      <w:r>
        <w:rPr>
          <w:rFonts w:ascii="Times New Roman" w:eastAsia="SimSun" w:hAnsi="Times New Roman" w:cs="Arial"/>
          <w:kern w:val="0"/>
          <w:szCs w:val="21"/>
        </w:rPr>
        <w:t xml:space="preserve"> Association of pre-neoadjuvant treatment baseline clinical parameters such as (A) categori</w:t>
      </w:r>
      <w:r>
        <w:rPr>
          <w:rFonts w:ascii="Times New Roman" w:eastAsia="SimSun" w:hAnsi="Times New Roman" w:cs="Arial" w:hint="eastAsia"/>
          <w:kern w:val="0"/>
          <w:szCs w:val="21"/>
        </w:rPr>
        <w:t>zed</w:t>
      </w:r>
      <w:r>
        <w:rPr>
          <w:rFonts w:ascii="Times New Roman" w:eastAsia="SimSun" w:hAnsi="Times New Roman" w:cs="Arial"/>
          <w:kern w:val="0"/>
          <w:szCs w:val="21"/>
        </w:rPr>
        <w:t xml:space="preserve"> PD-L1 expression (&lt;1% or &gt;=1%), (B) CD8+/CD28- expression levels, (C) smoking status, and (D) histological stages with pathological complete response (pCR).</w:t>
      </w:r>
    </w:p>
    <w:p w14:paraId="3C989F85" w14:textId="77777777" w:rsidR="00D910F4" w:rsidRDefault="00D910F4" w:rsidP="00D910F4">
      <w:pPr>
        <w:widowControl/>
        <w:spacing w:line="480" w:lineRule="auto"/>
        <w:rPr>
          <w:rFonts w:ascii="Times New Roman" w:eastAsia="SimSun" w:hAnsi="Times New Roman" w:cs="Arial"/>
          <w:kern w:val="0"/>
          <w:szCs w:val="21"/>
        </w:rPr>
      </w:pPr>
      <w:r w:rsidRPr="00333322">
        <w:rPr>
          <w:rFonts w:ascii="Times New Roman" w:eastAsia="SimSun" w:hAnsi="Times New Roman" w:cs="Arial"/>
          <w:b/>
          <w:bCs/>
          <w:kern w:val="0"/>
          <w:szCs w:val="21"/>
        </w:rPr>
        <w:t>Supplementary Figure 3.</w:t>
      </w:r>
      <w:r>
        <w:rPr>
          <w:rFonts w:ascii="Times New Roman" w:eastAsia="SimSun" w:hAnsi="Times New Roman" w:cs="Arial"/>
          <w:kern w:val="0"/>
          <w:szCs w:val="21"/>
        </w:rPr>
        <w:t xml:space="preserve"> A</w:t>
      </w:r>
      <w:r>
        <w:rPr>
          <w:rFonts w:ascii="Times New Roman" w:eastAsia="SimSun" w:hAnsi="Times New Roman" w:cs="Arial" w:hint="eastAsia"/>
          <w:kern w:val="0"/>
          <w:szCs w:val="21"/>
        </w:rPr>
        <w:t>sso</w:t>
      </w:r>
      <w:r>
        <w:rPr>
          <w:rFonts w:ascii="Times New Roman" w:eastAsia="SimSun" w:hAnsi="Times New Roman" w:cs="Arial"/>
          <w:kern w:val="0"/>
          <w:szCs w:val="21"/>
        </w:rPr>
        <w:t>ciation analysis of continuous MFR and CAFF scores at baseline (C0) with clinical parameters such as age (&lt;60 or &gt;=60), gender, smoking status, histology types, PD-L1 expression levels (&lt;1% or &gt;=1%), blood CD8</w:t>
      </w:r>
      <w:r>
        <w:rPr>
          <w:rFonts w:ascii="Times New Roman" w:eastAsia="SimSun" w:hAnsi="Times New Roman" w:cs="Arial"/>
          <w:kern w:val="0"/>
          <w:szCs w:val="21"/>
          <w:vertAlign w:val="superscript"/>
        </w:rPr>
        <w:t>+</w:t>
      </w:r>
      <w:r>
        <w:rPr>
          <w:rFonts w:ascii="Times New Roman" w:eastAsia="SimSun" w:hAnsi="Times New Roman" w:cs="Arial"/>
          <w:kern w:val="0"/>
          <w:szCs w:val="21"/>
        </w:rPr>
        <w:t>CD28</w:t>
      </w:r>
      <w:r>
        <w:rPr>
          <w:rFonts w:ascii="Times New Roman" w:eastAsia="SimSun" w:hAnsi="Times New Roman" w:cs="Arial"/>
          <w:kern w:val="0"/>
          <w:szCs w:val="21"/>
          <w:vertAlign w:val="superscript"/>
        </w:rPr>
        <w:t>-</w:t>
      </w:r>
      <w:r>
        <w:rPr>
          <w:rFonts w:ascii="Times New Roman" w:eastAsia="SimSun" w:hAnsi="Times New Roman" w:cs="Arial"/>
          <w:kern w:val="0"/>
          <w:szCs w:val="21"/>
        </w:rPr>
        <w:t xml:space="preserve"> T lymphocyte level</w:t>
      </w:r>
      <w:r>
        <w:rPr>
          <w:rFonts w:ascii="Times New Roman" w:eastAsia="SimSun" w:hAnsi="Times New Roman" w:cs="Arial" w:hint="eastAsia"/>
          <w:kern w:val="0"/>
          <w:szCs w:val="21"/>
        </w:rPr>
        <w:t>.</w:t>
      </w:r>
    </w:p>
    <w:p w14:paraId="462C95A5" w14:textId="77777777" w:rsidR="00D910F4" w:rsidRDefault="00D910F4" w:rsidP="00D910F4">
      <w:pPr>
        <w:widowControl/>
        <w:spacing w:line="480" w:lineRule="auto"/>
        <w:rPr>
          <w:rFonts w:ascii="Times New Roman" w:eastAsia="SimSun" w:hAnsi="Times New Roman" w:cs="Arial"/>
          <w:kern w:val="0"/>
          <w:szCs w:val="21"/>
        </w:rPr>
      </w:pPr>
      <w:r w:rsidRPr="008174A5">
        <w:rPr>
          <w:rFonts w:ascii="Times New Roman" w:eastAsia="SimSun" w:hAnsi="Times New Roman" w:cs="Arial"/>
          <w:b/>
          <w:bCs/>
          <w:kern w:val="0"/>
          <w:szCs w:val="21"/>
        </w:rPr>
        <w:t xml:space="preserve">Supplementary </w:t>
      </w:r>
      <w:r>
        <w:rPr>
          <w:rFonts w:ascii="Times New Roman" w:eastAsia="SimSun" w:hAnsi="Times New Roman" w:cs="Arial" w:hint="eastAsia"/>
          <w:b/>
          <w:bCs/>
          <w:kern w:val="0"/>
          <w:szCs w:val="21"/>
        </w:rPr>
        <w:t>f</w:t>
      </w:r>
      <w:r w:rsidRPr="008174A5">
        <w:rPr>
          <w:rFonts w:ascii="Times New Roman" w:eastAsia="SimSun" w:hAnsi="Times New Roman" w:cs="Arial"/>
          <w:b/>
          <w:bCs/>
          <w:kern w:val="0"/>
          <w:szCs w:val="21"/>
        </w:rPr>
        <w:t>igure 4.</w:t>
      </w:r>
      <w:r>
        <w:rPr>
          <w:rFonts w:ascii="Times New Roman" w:eastAsia="SimSun" w:hAnsi="Times New Roman" w:cs="Arial"/>
          <w:kern w:val="0"/>
          <w:szCs w:val="21"/>
        </w:rPr>
        <w:t xml:space="preserve"> </w:t>
      </w:r>
      <w:r w:rsidRPr="00333322">
        <w:rPr>
          <w:rFonts w:ascii="Times New Roman" w:eastAsia="SimSun" w:hAnsi="Times New Roman" w:cs="Arial"/>
          <w:b/>
          <w:bCs/>
          <w:kern w:val="0"/>
          <w:szCs w:val="21"/>
        </w:rPr>
        <w:t xml:space="preserve">Pre-neoadjuvant treatment cfDNA methylation features association with pCR. </w:t>
      </w:r>
      <w:r>
        <w:rPr>
          <w:rFonts w:ascii="Times New Roman" w:eastAsia="SimSun" w:hAnsi="Times New Roman" w:cs="Arial"/>
          <w:kern w:val="0"/>
          <w:szCs w:val="21"/>
        </w:rPr>
        <w:t>(A)Venn plot to show shared differentially methylated regions (DMRs) between pCR and MPR patients. (B) Violin plot to show methylation scores of these DMRs comparison between pCR and non-PCR groups. (C) The composition of the DNA sequencing types where these DMRs situated. (D) Manhattan plot to show the top genes containing these DMRs. Red dashed horizontal line setting at -log10(P) equals 1 indicates significance.</w:t>
      </w:r>
    </w:p>
    <w:p w14:paraId="3775BD19" w14:textId="77777777" w:rsidR="00D910F4" w:rsidRDefault="00D910F4" w:rsidP="00D910F4">
      <w:pPr>
        <w:spacing w:line="480" w:lineRule="auto"/>
        <w:rPr>
          <w:rFonts w:ascii="Times New Roman" w:eastAsia="SimSun" w:hAnsi="Times New Roman" w:cs="Arial"/>
          <w:kern w:val="0"/>
          <w:szCs w:val="21"/>
        </w:rPr>
      </w:pPr>
      <w:r w:rsidRPr="00333322">
        <w:rPr>
          <w:rFonts w:ascii="Times New Roman" w:eastAsia="SimSun" w:hAnsi="Times New Roman" w:cs="Arial"/>
          <w:b/>
          <w:bCs/>
          <w:kern w:val="0"/>
          <w:szCs w:val="21"/>
        </w:rPr>
        <w:t>Supplementary Figure 5.</w:t>
      </w:r>
      <w:r>
        <w:rPr>
          <w:rFonts w:ascii="Times New Roman" w:eastAsia="SimSun" w:hAnsi="Times New Roman" w:cs="Arial"/>
          <w:kern w:val="0"/>
          <w:szCs w:val="21"/>
        </w:rPr>
        <w:t xml:space="preserve"> </w:t>
      </w:r>
      <w:r w:rsidRPr="00333322">
        <w:rPr>
          <w:rFonts w:ascii="Times New Roman" w:eastAsia="SimSun" w:hAnsi="Times New Roman" w:cs="Arial"/>
          <w:b/>
          <w:bCs/>
          <w:kern w:val="0"/>
          <w:szCs w:val="21"/>
        </w:rPr>
        <w:t>Observed dynamic patterns of cfDNA features associated with MPR.</w:t>
      </w:r>
      <w:r>
        <w:rPr>
          <w:rFonts w:ascii="Times New Roman" w:eastAsia="SimSun" w:hAnsi="Times New Roman" w:cs="Arial"/>
          <w:kern w:val="0"/>
          <w:szCs w:val="21"/>
        </w:rPr>
        <w:t xml:space="preserve"> </w:t>
      </w:r>
      <w:r>
        <w:rPr>
          <w:rFonts w:ascii="Times New Roman" w:eastAsia="SimSun" w:hAnsi="Times New Roman" w:cs="Arial"/>
          <w:kern w:val="0"/>
          <w:szCs w:val="21"/>
        </w:rPr>
        <w:lastRenderedPageBreak/>
        <w:t>(</w:t>
      </w:r>
      <w:r>
        <w:rPr>
          <w:rFonts w:ascii="Times New Roman" w:eastAsia="SimSun" w:hAnsi="Times New Roman" w:cs="Arial" w:hint="eastAsia"/>
          <w:kern w:val="0"/>
          <w:szCs w:val="21"/>
        </w:rPr>
        <w:t>A</w:t>
      </w:r>
      <w:r>
        <w:rPr>
          <w:rFonts w:ascii="Times New Roman" w:eastAsia="SimSun" w:hAnsi="Times New Roman" w:cs="Arial"/>
          <w:kern w:val="0"/>
          <w:szCs w:val="21"/>
        </w:rPr>
        <w:t>) All patients were class</w:t>
      </w:r>
      <w:r>
        <w:rPr>
          <w:rFonts w:ascii="Times New Roman" w:eastAsia="SimSun" w:hAnsi="Times New Roman" w:cs="Arial" w:hint="eastAsia"/>
          <w:kern w:val="0"/>
          <w:szCs w:val="21"/>
        </w:rPr>
        <w:t>ified</w:t>
      </w:r>
      <w:r>
        <w:rPr>
          <w:rFonts w:ascii="Times New Roman" w:eastAsia="SimSun" w:hAnsi="Times New Roman" w:cs="Arial"/>
          <w:kern w:val="0"/>
          <w:szCs w:val="21"/>
        </w:rPr>
        <w:t xml:space="preserve"> into three </w:t>
      </w:r>
      <w:r>
        <w:rPr>
          <w:rFonts w:ascii="Times New Roman" w:eastAsia="SimSun" w:hAnsi="Times New Roman" w:cs="Arial" w:hint="eastAsia"/>
          <w:kern w:val="0"/>
          <w:szCs w:val="21"/>
        </w:rPr>
        <w:t>patterns</w:t>
      </w:r>
      <w:r>
        <w:rPr>
          <w:rFonts w:ascii="Times New Roman" w:eastAsia="SimSun" w:hAnsi="Times New Roman" w:cs="Arial"/>
          <w:kern w:val="0"/>
          <w:szCs w:val="21"/>
        </w:rPr>
        <w:t xml:space="preserve"> as defined by MFR status at C0 and C1 (</w:t>
      </w:r>
      <w:r>
        <w:rPr>
          <w:rFonts w:ascii="Times New Roman" w:eastAsia="SimSun" w:hAnsi="Times New Roman" w:cs="Arial" w:hint="eastAsia"/>
          <w:kern w:val="0"/>
          <w:szCs w:val="21"/>
        </w:rPr>
        <w:t xml:space="preserve">the </w:t>
      </w:r>
      <w:r>
        <w:rPr>
          <w:rFonts w:ascii="Times New Roman" w:eastAsia="SimSun" w:hAnsi="Times New Roman" w:cs="Arial"/>
          <w:kern w:val="0"/>
          <w:szCs w:val="21"/>
        </w:rPr>
        <w:t>“</w:t>
      </w:r>
      <w:r>
        <w:rPr>
          <w:rFonts w:ascii="Times New Roman" w:eastAsia="SimSun" w:hAnsi="Times New Roman" w:cs="Arial" w:hint="eastAsia"/>
          <w:kern w:val="0"/>
          <w:szCs w:val="21"/>
        </w:rPr>
        <w:t>C0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the </w:t>
      </w:r>
      <w:r>
        <w:rPr>
          <w:rFonts w:ascii="Times New Roman" w:eastAsia="SimSun" w:hAnsi="Times New Roman" w:cs="Arial"/>
          <w:kern w:val="0"/>
          <w:szCs w:val="21"/>
        </w:rPr>
        <w:t>“</w:t>
      </w:r>
      <w:r>
        <w:rPr>
          <w:rFonts w:ascii="Times New Roman" w:eastAsia="SimSun" w:hAnsi="Times New Roman" w:cs="Arial" w:hint="eastAsia"/>
          <w:kern w:val="0"/>
          <w:szCs w:val="21"/>
        </w:rPr>
        <w:t>C0 high/C1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and the </w:t>
      </w:r>
      <w:r>
        <w:rPr>
          <w:rFonts w:ascii="Times New Roman" w:eastAsia="SimSun" w:hAnsi="Times New Roman" w:cs="Arial"/>
          <w:kern w:val="0"/>
          <w:szCs w:val="21"/>
        </w:rPr>
        <w:t>“</w:t>
      </w:r>
      <w:r>
        <w:rPr>
          <w:rFonts w:ascii="Times New Roman" w:eastAsia="SimSun" w:hAnsi="Times New Roman" w:cs="Arial" w:hint="eastAsia"/>
          <w:kern w:val="0"/>
          <w:szCs w:val="21"/>
        </w:rPr>
        <w:t>C0 high/C1 high</w:t>
      </w:r>
      <w:r>
        <w:rPr>
          <w:rFonts w:ascii="Times New Roman" w:eastAsia="SimSun" w:hAnsi="Times New Roman" w:cs="Arial"/>
          <w:kern w:val="0"/>
          <w:szCs w:val="21"/>
        </w:rPr>
        <w:t>”</w:t>
      </w:r>
      <w:r>
        <w:rPr>
          <w:rFonts w:ascii="Times New Roman" w:eastAsia="SimSun" w:hAnsi="Times New Roman" w:cs="Arial" w:hint="eastAsia"/>
          <w:kern w:val="0"/>
          <w:szCs w:val="21"/>
        </w:rPr>
        <w:t xml:space="preserve">). </w:t>
      </w:r>
      <w:r>
        <w:rPr>
          <w:rFonts w:ascii="Times New Roman" w:eastAsia="SimSun" w:hAnsi="Times New Roman" w:cs="Arial"/>
          <w:kern w:val="0"/>
          <w:szCs w:val="21"/>
        </w:rPr>
        <w:t>Observed dynamic pattern</w:t>
      </w:r>
      <w:r>
        <w:rPr>
          <w:rFonts w:ascii="Times New Roman" w:eastAsia="SimSun" w:hAnsi="Times New Roman" w:cs="Arial" w:hint="eastAsia"/>
          <w:kern w:val="0"/>
          <w:szCs w:val="21"/>
        </w:rPr>
        <w:t>s</w:t>
      </w:r>
      <w:r>
        <w:rPr>
          <w:rFonts w:ascii="Times New Roman" w:eastAsia="SimSun" w:hAnsi="Times New Roman" w:cs="Arial"/>
          <w:kern w:val="0"/>
          <w:szCs w:val="21"/>
        </w:rPr>
        <w:t xml:space="preserve"> of MFR score were shown at patient level from C0 to BS. Distribution of %RVT was compared at two patient groups with either MFR high or low at BS time point. (</w:t>
      </w:r>
      <w:r>
        <w:rPr>
          <w:rFonts w:ascii="Times New Roman" w:eastAsia="SimSun" w:hAnsi="Times New Roman" w:cs="Arial" w:hint="eastAsia"/>
          <w:kern w:val="0"/>
          <w:szCs w:val="21"/>
        </w:rPr>
        <w:t>B</w:t>
      </w:r>
      <w:r>
        <w:rPr>
          <w:rFonts w:ascii="Times New Roman" w:eastAsia="SimSun" w:hAnsi="Times New Roman" w:cs="Arial"/>
          <w:kern w:val="0"/>
          <w:szCs w:val="21"/>
        </w:rPr>
        <w:t xml:space="preserve">) All patients were classified into </w:t>
      </w:r>
      <w:r>
        <w:rPr>
          <w:rFonts w:ascii="Times New Roman" w:eastAsia="SimSun" w:hAnsi="Times New Roman" w:cs="Arial" w:hint="eastAsia"/>
          <w:kern w:val="0"/>
          <w:szCs w:val="21"/>
        </w:rPr>
        <w:t>three patterns</w:t>
      </w:r>
      <w:r>
        <w:rPr>
          <w:rFonts w:ascii="Times New Roman" w:eastAsia="SimSun" w:hAnsi="Times New Roman" w:cs="Arial"/>
          <w:kern w:val="0"/>
          <w:szCs w:val="21"/>
        </w:rPr>
        <w:t xml:space="preserve"> as defined by CAFF status at C0 and C1 (</w:t>
      </w:r>
      <w:r>
        <w:rPr>
          <w:rFonts w:ascii="Times New Roman" w:eastAsia="SimSun" w:hAnsi="Times New Roman" w:cs="Arial" w:hint="eastAsia"/>
          <w:kern w:val="0"/>
          <w:szCs w:val="21"/>
        </w:rPr>
        <w:t xml:space="preserve">the </w:t>
      </w:r>
      <w:r>
        <w:rPr>
          <w:rFonts w:ascii="Times New Roman" w:eastAsia="SimSun" w:hAnsi="Times New Roman" w:cs="Arial"/>
          <w:kern w:val="0"/>
          <w:szCs w:val="21"/>
        </w:rPr>
        <w:t>“</w:t>
      </w:r>
      <w:r>
        <w:rPr>
          <w:rFonts w:ascii="Times New Roman" w:eastAsia="SimSun" w:hAnsi="Times New Roman" w:cs="Arial" w:hint="eastAsia"/>
          <w:kern w:val="0"/>
          <w:szCs w:val="21"/>
        </w:rPr>
        <w:t>C0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the </w:t>
      </w:r>
      <w:r>
        <w:rPr>
          <w:rFonts w:ascii="Times New Roman" w:eastAsia="SimSun" w:hAnsi="Times New Roman" w:cs="Arial"/>
          <w:kern w:val="0"/>
          <w:szCs w:val="21"/>
        </w:rPr>
        <w:t>“</w:t>
      </w:r>
      <w:r>
        <w:rPr>
          <w:rFonts w:ascii="Times New Roman" w:eastAsia="SimSun" w:hAnsi="Times New Roman" w:cs="Arial" w:hint="eastAsia"/>
          <w:kern w:val="0"/>
          <w:szCs w:val="21"/>
        </w:rPr>
        <w:t>C0 high/C1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and the </w:t>
      </w:r>
      <w:r>
        <w:rPr>
          <w:rFonts w:ascii="Times New Roman" w:eastAsia="SimSun" w:hAnsi="Times New Roman" w:cs="Arial"/>
          <w:kern w:val="0"/>
          <w:szCs w:val="21"/>
        </w:rPr>
        <w:t>“</w:t>
      </w:r>
      <w:r>
        <w:rPr>
          <w:rFonts w:ascii="Times New Roman" w:eastAsia="SimSun" w:hAnsi="Times New Roman" w:cs="Arial" w:hint="eastAsia"/>
          <w:kern w:val="0"/>
          <w:szCs w:val="21"/>
        </w:rPr>
        <w:t>C0 high/C1 high</w:t>
      </w:r>
      <w:r>
        <w:rPr>
          <w:rFonts w:ascii="Times New Roman" w:eastAsia="SimSun" w:hAnsi="Times New Roman" w:cs="Arial"/>
          <w:kern w:val="0"/>
          <w:szCs w:val="21"/>
        </w:rPr>
        <w:t>”). Observed dynamic pattern</w:t>
      </w:r>
      <w:r>
        <w:rPr>
          <w:rFonts w:ascii="Times New Roman" w:eastAsia="SimSun" w:hAnsi="Times New Roman" w:cs="Arial" w:hint="eastAsia"/>
          <w:kern w:val="0"/>
          <w:szCs w:val="21"/>
        </w:rPr>
        <w:t>s</w:t>
      </w:r>
      <w:r>
        <w:rPr>
          <w:rFonts w:ascii="Times New Roman" w:eastAsia="SimSun" w:hAnsi="Times New Roman" w:cs="Arial"/>
          <w:kern w:val="0"/>
          <w:szCs w:val="21"/>
        </w:rPr>
        <w:t xml:space="preserve"> of CAFF score were shown at patient level from C0 to BS. Distribution of %RVT was compared at two patient groups with either CAFF high or low at BS. </w:t>
      </w:r>
    </w:p>
    <w:p w14:paraId="3AE43FF9" w14:textId="77777777" w:rsidR="00D910F4" w:rsidRDefault="00D910F4" w:rsidP="00D910F4">
      <w:pPr>
        <w:spacing w:line="480" w:lineRule="auto"/>
        <w:rPr>
          <w:rFonts w:ascii="Times New Roman" w:eastAsia="SimSun" w:hAnsi="Times New Roman" w:cs="Arial"/>
          <w:kern w:val="0"/>
          <w:szCs w:val="21"/>
        </w:rPr>
      </w:pPr>
      <w:r>
        <w:rPr>
          <w:rFonts w:ascii="Times New Roman" w:eastAsia="SimSun" w:hAnsi="Times New Roman" w:cs="Arial"/>
          <w:kern w:val="0"/>
          <w:szCs w:val="21"/>
        </w:rPr>
        <w:t xml:space="preserve">The three </w:t>
      </w:r>
      <w:r>
        <w:rPr>
          <w:rFonts w:ascii="Times New Roman" w:eastAsia="SimSun" w:hAnsi="Times New Roman" w:cs="Arial" w:hint="eastAsia"/>
          <w:kern w:val="0"/>
          <w:szCs w:val="21"/>
        </w:rPr>
        <w:t>patterns</w:t>
      </w:r>
      <w:r>
        <w:rPr>
          <w:rFonts w:ascii="Times New Roman" w:eastAsia="SimSun" w:hAnsi="Times New Roman" w:cs="Arial"/>
          <w:kern w:val="0"/>
          <w:szCs w:val="21"/>
        </w:rPr>
        <w:t xml:space="preserve"> (</w:t>
      </w:r>
      <w:r>
        <w:rPr>
          <w:rFonts w:ascii="Times New Roman" w:eastAsia="SimSun" w:hAnsi="Times New Roman" w:cs="Arial" w:hint="eastAsia"/>
          <w:kern w:val="0"/>
          <w:szCs w:val="21"/>
        </w:rPr>
        <w:t xml:space="preserve">the </w:t>
      </w:r>
      <w:r>
        <w:rPr>
          <w:rFonts w:ascii="Times New Roman" w:eastAsia="SimSun" w:hAnsi="Times New Roman" w:cs="Arial"/>
          <w:kern w:val="0"/>
          <w:szCs w:val="21"/>
        </w:rPr>
        <w:t>“</w:t>
      </w:r>
      <w:r>
        <w:rPr>
          <w:rFonts w:ascii="Times New Roman" w:eastAsia="SimSun" w:hAnsi="Times New Roman" w:cs="Arial" w:hint="eastAsia"/>
          <w:kern w:val="0"/>
          <w:szCs w:val="21"/>
        </w:rPr>
        <w:t>C0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the </w:t>
      </w:r>
      <w:r>
        <w:rPr>
          <w:rFonts w:ascii="Times New Roman" w:eastAsia="SimSun" w:hAnsi="Times New Roman" w:cs="Arial"/>
          <w:kern w:val="0"/>
          <w:szCs w:val="21"/>
        </w:rPr>
        <w:t>“</w:t>
      </w:r>
      <w:r>
        <w:rPr>
          <w:rFonts w:ascii="Times New Roman" w:eastAsia="SimSun" w:hAnsi="Times New Roman" w:cs="Arial" w:hint="eastAsia"/>
          <w:kern w:val="0"/>
          <w:szCs w:val="21"/>
        </w:rPr>
        <w:t>C0 high/C1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and the </w:t>
      </w:r>
      <w:r>
        <w:rPr>
          <w:rFonts w:ascii="Times New Roman" w:eastAsia="SimSun" w:hAnsi="Times New Roman" w:cs="Arial"/>
          <w:kern w:val="0"/>
          <w:szCs w:val="21"/>
        </w:rPr>
        <w:t>“</w:t>
      </w:r>
      <w:r>
        <w:rPr>
          <w:rFonts w:ascii="Times New Roman" w:eastAsia="SimSun" w:hAnsi="Times New Roman" w:cs="Arial" w:hint="eastAsia"/>
          <w:kern w:val="0"/>
          <w:szCs w:val="21"/>
        </w:rPr>
        <w:t>C0 high/C1 high</w:t>
      </w:r>
      <w:r>
        <w:rPr>
          <w:rFonts w:ascii="Times New Roman" w:eastAsia="SimSun" w:hAnsi="Times New Roman" w:cs="Arial"/>
          <w:kern w:val="0"/>
          <w:szCs w:val="21"/>
        </w:rPr>
        <w:t>”) w</w:t>
      </w:r>
      <w:r>
        <w:rPr>
          <w:rFonts w:ascii="Times New Roman" w:eastAsia="SimSun" w:hAnsi="Times New Roman" w:cs="Arial" w:hint="eastAsia"/>
          <w:kern w:val="0"/>
          <w:szCs w:val="21"/>
        </w:rPr>
        <w:t>ere</w:t>
      </w:r>
      <w:r>
        <w:rPr>
          <w:rFonts w:ascii="Times New Roman" w:eastAsia="SimSun" w:hAnsi="Times New Roman" w:cs="Arial"/>
          <w:kern w:val="0"/>
          <w:szCs w:val="21"/>
        </w:rPr>
        <w:t xml:space="preserve"> defined as previously mentioned in Figure </w:t>
      </w:r>
      <w:r>
        <w:rPr>
          <w:rFonts w:ascii="Times New Roman" w:eastAsia="SimSun" w:hAnsi="Times New Roman" w:cs="Arial" w:hint="eastAsia"/>
          <w:kern w:val="0"/>
          <w:szCs w:val="21"/>
        </w:rPr>
        <w:t>5</w:t>
      </w:r>
      <w:r>
        <w:rPr>
          <w:rFonts w:ascii="Times New Roman" w:eastAsia="SimSun" w:hAnsi="Times New Roman" w:cs="Arial"/>
          <w:kern w:val="0"/>
          <w:szCs w:val="21"/>
        </w:rPr>
        <w:t xml:space="preserve"> legend. Blue color indicated MPR, and red color indicated non-MPR. Light blue color indicated pCR, and orange color indicated non-pCR.</w:t>
      </w:r>
    </w:p>
    <w:p w14:paraId="61770FC4" w14:textId="77777777" w:rsidR="00D910F4" w:rsidRDefault="00D910F4" w:rsidP="00D910F4">
      <w:pPr>
        <w:spacing w:line="480" w:lineRule="auto"/>
        <w:rPr>
          <w:rFonts w:ascii="Times New Roman" w:eastAsia="SimSun" w:hAnsi="Times New Roman" w:cs="Arial"/>
          <w:kern w:val="0"/>
          <w:szCs w:val="21"/>
        </w:rPr>
      </w:pPr>
      <w:r w:rsidRPr="00333322">
        <w:rPr>
          <w:rFonts w:ascii="Times New Roman" w:eastAsia="SimSun" w:hAnsi="Times New Roman" w:cs="Arial"/>
          <w:b/>
          <w:bCs/>
          <w:kern w:val="0"/>
          <w:szCs w:val="21"/>
        </w:rPr>
        <w:t>Supplementary Figure 6.</w:t>
      </w:r>
      <w:r>
        <w:rPr>
          <w:rFonts w:ascii="Times New Roman" w:eastAsia="SimSun" w:hAnsi="Times New Roman" w:cs="Arial"/>
          <w:kern w:val="0"/>
          <w:szCs w:val="21"/>
        </w:rPr>
        <w:t xml:space="preserve"> </w:t>
      </w:r>
      <w:r w:rsidRPr="008B0F43">
        <w:rPr>
          <w:rFonts w:ascii="Times New Roman" w:eastAsia="SimSun" w:hAnsi="Times New Roman" w:cs="Arial"/>
          <w:b/>
          <w:bCs/>
          <w:kern w:val="0"/>
          <w:szCs w:val="21"/>
        </w:rPr>
        <w:t>Observed dynamic pattern</w:t>
      </w:r>
      <w:r w:rsidRPr="008B0F43">
        <w:rPr>
          <w:rFonts w:ascii="Times New Roman" w:eastAsia="SimSun" w:hAnsi="Times New Roman" w:cs="Arial" w:hint="eastAsia"/>
          <w:b/>
          <w:bCs/>
          <w:kern w:val="0"/>
          <w:szCs w:val="21"/>
        </w:rPr>
        <w:t>s</w:t>
      </w:r>
      <w:r w:rsidRPr="008B0F43">
        <w:rPr>
          <w:rFonts w:ascii="Times New Roman" w:eastAsia="SimSun" w:hAnsi="Times New Roman" w:cs="Arial"/>
          <w:b/>
          <w:bCs/>
          <w:kern w:val="0"/>
          <w:szCs w:val="21"/>
        </w:rPr>
        <w:t xml:space="preserve"> of cfDNA feature</w:t>
      </w:r>
      <w:r w:rsidRPr="008B0F43">
        <w:rPr>
          <w:rFonts w:ascii="Times New Roman" w:eastAsia="SimSun" w:hAnsi="Times New Roman" w:cs="Arial" w:hint="eastAsia"/>
          <w:b/>
          <w:bCs/>
          <w:kern w:val="0"/>
          <w:szCs w:val="21"/>
        </w:rPr>
        <w:t>s</w:t>
      </w:r>
      <w:r w:rsidRPr="008B0F43">
        <w:rPr>
          <w:rFonts w:ascii="Times New Roman" w:eastAsia="SimSun" w:hAnsi="Times New Roman" w:cs="Arial"/>
          <w:b/>
          <w:bCs/>
          <w:kern w:val="0"/>
          <w:szCs w:val="21"/>
        </w:rPr>
        <w:t xml:space="preserve"> associated with </w:t>
      </w:r>
      <w:r>
        <w:rPr>
          <w:rFonts w:ascii="Times New Roman" w:eastAsia="SimSun" w:hAnsi="Times New Roman" w:cs="Arial" w:hint="eastAsia"/>
          <w:b/>
          <w:bCs/>
          <w:kern w:val="0"/>
          <w:szCs w:val="21"/>
        </w:rPr>
        <w:t>pCR</w:t>
      </w:r>
      <w:r>
        <w:rPr>
          <w:rFonts w:ascii="Times New Roman" w:eastAsia="SimSun" w:hAnsi="Times New Roman" w:cs="Arial"/>
          <w:kern w:val="0"/>
          <w:szCs w:val="21"/>
        </w:rPr>
        <w:t>. (A) MFR score distribution comparison between pCR and non-pCR groups across three time points (C0, C1, and BS). (B) CAFF score distribution comparison between pCR and non-pCR groups across three time points (C0, C1, and BS).</w:t>
      </w:r>
      <w:r>
        <w:rPr>
          <w:rFonts w:ascii="Times New Roman" w:eastAsia="SimSun" w:hAnsi="Times New Roman" w:cs="Arial" w:hint="eastAsia"/>
          <w:kern w:val="0"/>
          <w:szCs w:val="21"/>
        </w:rPr>
        <w:t xml:space="preserve"> (C</w:t>
      </w:r>
      <w:r>
        <w:rPr>
          <w:rFonts w:ascii="Times New Roman" w:eastAsia="SimSun" w:hAnsi="Times New Roman" w:cs="Arial"/>
          <w:kern w:val="0"/>
          <w:szCs w:val="21"/>
        </w:rPr>
        <w:t>)</w:t>
      </w:r>
      <w:r>
        <w:rPr>
          <w:rFonts w:ascii="Times New Roman" w:eastAsia="SimSun" w:hAnsi="Times New Roman" w:cs="Arial" w:hint="eastAsia"/>
          <w:kern w:val="0"/>
          <w:szCs w:val="21"/>
        </w:rPr>
        <w:t xml:space="preserve"> </w:t>
      </w:r>
      <w:r>
        <w:rPr>
          <w:rFonts w:ascii="Times New Roman" w:eastAsia="SimSun" w:hAnsi="Times New Roman" w:cs="Arial"/>
          <w:kern w:val="0"/>
          <w:szCs w:val="21"/>
        </w:rPr>
        <w:t>Association of MFR status (low or high) at C0, C1 and BS</w:t>
      </w:r>
      <w:r>
        <w:rPr>
          <w:rFonts w:ascii="Times New Roman" w:eastAsia="SimSun" w:hAnsi="Times New Roman" w:cs="Arial" w:hint="eastAsia"/>
          <w:kern w:val="0"/>
          <w:szCs w:val="21"/>
        </w:rPr>
        <w:t xml:space="preserve"> </w:t>
      </w:r>
      <w:r>
        <w:rPr>
          <w:rFonts w:ascii="Times New Roman" w:eastAsia="SimSun" w:hAnsi="Times New Roman" w:cs="Arial"/>
          <w:kern w:val="0"/>
          <w:szCs w:val="21"/>
        </w:rPr>
        <w:t>with secondary en</w:t>
      </w:r>
      <w:r>
        <w:rPr>
          <w:rFonts w:ascii="Times New Roman" w:eastAsia="SimSun" w:hAnsi="Times New Roman" w:cs="Arial" w:hint="eastAsia"/>
          <w:kern w:val="0"/>
          <w:szCs w:val="21"/>
        </w:rPr>
        <w:t>d</w:t>
      </w:r>
      <w:r>
        <w:rPr>
          <w:rFonts w:ascii="Times New Roman" w:eastAsia="SimSun" w:hAnsi="Times New Roman" w:cs="Arial"/>
          <w:kern w:val="0"/>
          <w:szCs w:val="21"/>
        </w:rPr>
        <w:t>point pCR. (</w:t>
      </w:r>
      <w:r>
        <w:rPr>
          <w:rFonts w:ascii="Times New Roman" w:eastAsia="SimSun" w:hAnsi="Times New Roman" w:cs="Arial" w:hint="eastAsia"/>
          <w:kern w:val="0"/>
          <w:szCs w:val="21"/>
        </w:rPr>
        <w:t>D</w:t>
      </w:r>
      <w:r>
        <w:rPr>
          <w:rFonts w:ascii="Times New Roman" w:eastAsia="SimSun" w:hAnsi="Times New Roman" w:cs="Arial"/>
          <w:kern w:val="0"/>
          <w:szCs w:val="21"/>
        </w:rPr>
        <w:t>) Association of CAFF status (low or high) at C0, C1 and BS</w:t>
      </w:r>
      <w:r>
        <w:rPr>
          <w:rFonts w:ascii="Times New Roman" w:eastAsia="SimSun" w:hAnsi="Times New Roman" w:cs="Arial" w:hint="eastAsia"/>
          <w:kern w:val="0"/>
          <w:szCs w:val="21"/>
        </w:rPr>
        <w:t xml:space="preserve"> </w:t>
      </w:r>
      <w:r>
        <w:rPr>
          <w:rFonts w:ascii="Times New Roman" w:eastAsia="SimSun" w:hAnsi="Times New Roman" w:cs="Arial"/>
          <w:kern w:val="0"/>
          <w:szCs w:val="21"/>
        </w:rPr>
        <w:t>with secondary en</w:t>
      </w:r>
      <w:r>
        <w:rPr>
          <w:rFonts w:ascii="Times New Roman" w:eastAsia="SimSun" w:hAnsi="Times New Roman" w:cs="Arial" w:hint="eastAsia"/>
          <w:kern w:val="0"/>
          <w:szCs w:val="21"/>
        </w:rPr>
        <w:t>d</w:t>
      </w:r>
      <w:r>
        <w:rPr>
          <w:rFonts w:ascii="Times New Roman" w:eastAsia="SimSun" w:hAnsi="Times New Roman" w:cs="Arial"/>
          <w:kern w:val="0"/>
          <w:szCs w:val="21"/>
        </w:rPr>
        <w:t>point pCR.</w:t>
      </w:r>
      <w:r>
        <w:rPr>
          <w:rFonts w:ascii="Times New Roman" w:eastAsia="SimSun" w:hAnsi="Times New Roman" w:cs="Arial" w:hint="eastAsia"/>
          <w:kern w:val="0"/>
          <w:szCs w:val="21"/>
        </w:rPr>
        <w:t xml:space="preserve"> </w:t>
      </w:r>
      <w:r>
        <w:rPr>
          <w:rFonts w:ascii="Times New Roman" w:eastAsia="SimSun" w:hAnsi="Times New Roman" w:cs="Arial"/>
          <w:kern w:val="0"/>
          <w:szCs w:val="21"/>
        </w:rPr>
        <w:t>(E) Sankey diagram to show the patients flow from C0 to BS as classified by MFR status (</w:t>
      </w:r>
      <w:r>
        <w:rPr>
          <w:rFonts w:ascii="Times New Roman" w:eastAsia="SimSun" w:hAnsi="Times New Roman" w:cs="Arial" w:hint="eastAsia"/>
          <w:kern w:val="0"/>
          <w:szCs w:val="21"/>
        </w:rPr>
        <w:t>low or</w:t>
      </w:r>
      <w:r>
        <w:rPr>
          <w:rFonts w:ascii="Times New Roman" w:eastAsia="SimSun" w:hAnsi="Times New Roman" w:cs="Arial"/>
          <w:kern w:val="0"/>
          <w:szCs w:val="21"/>
        </w:rPr>
        <w:t xml:space="preserve"> high) and then classified by pathological response (pCR and non-pCR groups). (F) The association of MFR status (</w:t>
      </w:r>
      <w:r>
        <w:rPr>
          <w:rFonts w:ascii="Times New Roman" w:eastAsia="SimSun" w:hAnsi="Times New Roman" w:cs="Arial" w:hint="eastAsia"/>
          <w:kern w:val="0"/>
          <w:szCs w:val="21"/>
        </w:rPr>
        <w:t>low or high</w:t>
      </w:r>
      <w:r>
        <w:rPr>
          <w:rFonts w:ascii="Times New Roman" w:eastAsia="SimSun" w:hAnsi="Times New Roman" w:cs="Arial"/>
          <w:kern w:val="0"/>
          <w:szCs w:val="21"/>
        </w:rPr>
        <w:t>) detected at BS</w:t>
      </w:r>
      <w:r>
        <w:rPr>
          <w:rFonts w:ascii="Times New Roman" w:eastAsia="SimSun" w:hAnsi="Times New Roman" w:cs="Arial" w:hint="eastAsia"/>
          <w:kern w:val="0"/>
          <w:szCs w:val="21"/>
        </w:rPr>
        <w:t xml:space="preserve"> </w:t>
      </w:r>
      <w:r>
        <w:rPr>
          <w:rFonts w:ascii="Times New Roman" w:eastAsia="SimSun" w:hAnsi="Times New Roman" w:cs="Arial"/>
          <w:kern w:val="0"/>
          <w:szCs w:val="21"/>
        </w:rPr>
        <w:t xml:space="preserve">and pCR was analyzed </w:t>
      </w:r>
      <w:r>
        <w:rPr>
          <w:rFonts w:ascii="Times New Roman" w:eastAsia="SimSun" w:hAnsi="Times New Roman" w:cs="Arial" w:hint="eastAsia"/>
          <w:kern w:val="0"/>
          <w:szCs w:val="21"/>
        </w:rPr>
        <w:t xml:space="preserve">in different patterns </w:t>
      </w:r>
      <w:r>
        <w:rPr>
          <w:rFonts w:ascii="Times New Roman" w:eastAsia="SimSun" w:hAnsi="Times New Roman" w:cs="Arial"/>
          <w:kern w:val="0"/>
          <w:szCs w:val="21"/>
        </w:rPr>
        <w:t>(</w:t>
      </w:r>
      <w:r>
        <w:rPr>
          <w:rFonts w:ascii="Times New Roman" w:eastAsia="SimSun" w:hAnsi="Times New Roman" w:cs="Arial" w:hint="eastAsia"/>
          <w:kern w:val="0"/>
          <w:szCs w:val="21"/>
        </w:rPr>
        <w:t xml:space="preserve">the </w:t>
      </w:r>
      <w:r>
        <w:rPr>
          <w:rFonts w:ascii="Times New Roman" w:eastAsia="SimSun" w:hAnsi="Times New Roman" w:cs="Arial"/>
          <w:kern w:val="0"/>
          <w:szCs w:val="21"/>
        </w:rPr>
        <w:t>“</w:t>
      </w:r>
      <w:r>
        <w:rPr>
          <w:rFonts w:ascii="Times New Roman" w:eastAsia="SimSun" w:hAnsi="Times New Roman" w:cs="Arial" w:hint="eastAsia"/>
          <w:kern w:val="0"/>
          <w:szCs w:val="21"/>
        </w:rPr>
        <w:t>C0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the </w:t>
      </w:r>
      <w:r>
        <w:rPr>
          <w:rFonts w:ascii="Times New Roman" w:eastAsia="SimSun" w:hAnsi="Times New Roman" w:cs="Arial"/>
          <w:kern w:val="0"/>
          <w:szCs w:val="21"/>
        </w:rPr>
        <w:t>“</w:t>
      </w:r>
      <w:r>
        <w:rPr>
          <w:rFonts w:ascii="Times New Roman" w:eastAsia="SimSun" w:hAnsi="Times New Roman" w:cs="Arial" w:hint="eastAsia"/>
          <w:kern w:val="0"/>
          <w:szCs w:val="21"/>
        </w:rPr>
        <w:t>C0 high/C1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and the </w:t>
      </w:r>
      <w:r>
        <w:rPr>
          <w:rFonts w:ascii="Times New Roman" w:eastAsia="SimSun" w:hAnsi="Times New Roman" w:cs="Arial"/>
          <w:kern w:val="0"/>
          <w:szCs w:val="21"/>
        </w:rPr>
        <w:t>“</w:t>
      </w:r>
      <w:r>
        <w:rPr>
          <w:rFonts w:ascii="Times New Roman" w:eastAsia="SimSun" w:hAnsi="Times New Roman" w:cs="Arial" w:hint="eastAsia"/>
          <w:kern w:val="0"/>
          <w:szCs w:val="21"/>
        </w:rPr>
        <w:t>C0 high/C1 high</w:t>
      </w:r>
      <w:r>
        <w:rPr>
          <w:rFonts w:ascii="Times New Roman" w:eastAsia="SimSun" w:hAnsi="Times New Roman" w:cs="Arial"/>
          <w:kern w:val="0"/>
          <w:szCs w:val="21"/>
        </w:rPr>
        <w:t xml:space="preserve">”). (G) Sankey diagram to show the patients flow from C0 to BS as classified by CAFF status (low or high) and then classified by pathological response (pCR and non-pCR). (H) The association of CAFF status </w:t>
      </w:r>
      <w:r>
        <w:rPr>
          <w:rFonts w:ascii="Times New Roman" w:eastAsia="SimSun" w:hAnsi="Times New Roman" w:cs="Arial"/>
          <w:kern w:val="0"/>
          <w:szCs w:val="21"/>
        </w:rPr>
        <w:lastRenderedPageBreak/>
        <w:t>(high/low) detected at BS</w:t>
      </w:r>
      <w:r>
        <w:rPr>
          <w:rFonts w:ascii="Times New Roman" w:eastAsia="SimSun" w:hAnsi="Times New Roman" w:cs="Arial" w:hint="eastAsia"/>
          <w:kern w:val="0"/>
          <w:szCs w:val="21"/>
        </w:rPr>
        <w:t xml:space="preserve"> </w:t>
      </w:r>
      <w:r>
        <w:rPr>
          <w:rFonts w:ascii="Times New Roman" w:eastAsia="SimSun" w:hAnsi="Times New Roman" w:cs="Arial"/>
          <w:kern w:val="0"/>
          <w:szCs w:val="21"/>
        </w:rPr>
        <w:t xml:space="preserve">and pCR was analyzed </w:t>
      </w:r>
      <w:r>
        <w:rPr>
          <w:rFonts w:ascii="Times New Roman" w:eastAsia="SimSun" w:hAnsi="Times New Roman" w:cs="Arial" w:hint="eastAsia"/>
          <w:kern w:val="0"/>
          <w:szCs w:val="21"/>
        </w:rPr>
        <w:t xml:space="preserve">in different patterns </w:t>
      </w:r>
      <w:r>
        <w:rPr>
          <w:rFonts w:ascii="Times New Roman" w:eastAsia="SimSun" w:hAnsi="Times New Roman" w:cs="Arial"/>
          <w:kern w:val="0"/>
          <w:szCs w:val="21"/>
        </w:rPr>
        <w:t>(</w:t>
      </w:r>
      <w:r>
        <w:rPr>
          <w:rFonts w:ascii="Times New Roman" w:eastAsia="SimSun" w:hAnsi="Times New Roman" w:cs="Arial" w:hint="eastAsia"/>
          <w:kern w:val="0"/>
          <w:szCs w:val="21"/>
        </w:rPr>
        <w:t xml:space="preserve">the </w:t>
      </w:r>
      <w:r>
        <w:rPr>
          <w:rFonts w:ascii="Times New Roman" w:eastAsia="SimSun" w:hAnsi="Times New Roman" w:cs="Arial"/>
          <w:kern w:val="0"/>
          <w:szCs w:val="21"/>
        </w:rPr>
        <w:t>“</w:t>
      </w:r>
      <w:r>
        <w:rPr>
          <w:rFonts w:ascii="Times New Roman" w:eastAsia="SimSun" w:hAnsi="Times New Roman" w:cs="Arial" w:hint="eastAsia"/>
          <w:kern w:val="0"/>
          <w:szCs w:val="21"/>
        </w:rPr>
        <w:t>C0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the </w:t>
      </w:r>
      <w:r>
        <w:rPr>
          <w:rFonts w:ascii="Times New Roman" w:eastAsia="SimSun" w:hAnsi="Times New Roman" w:cs="Arial"/>
          <w:kern w:val="0"/>
          <w:szCs w:val="21"/>
        </w:rPr>
        <w:t>“</w:t>
      </w:r>
      <w:r>
        <w:rPr>
          <w:rFonts w:ascii="Times New Roman" w:eastAsia="SimSun" w:hAnsi="Times New Roman" w:cs="Arial" w:hint="eastAsia"/>
          <w:kern w:val="0"/>
          <w:szCs w:val="21"/>
        </w:rPr>
        <w:t>C0 high/C1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and the </w:t>
      </w:r>
      <w:r>
        <w:rPr>
          <w:rFonts w:ascii="Times New Roman" w:eastAsia="SimSun" w:hAnsi="Times New Roman" w:cs="Arial"/>
          <w:kern w:val="0"/>
          <w:szCs w:val="21"/>
        </w:rPr>
        <w:t>“</w:t>
      </w:r>
      <w:r>
        <w:rPr>
          <w:rFonts w:ascii="Times New Roman" w:eastAsia="SimSun" w:hAnsi="Times New Roman" w:cs="Arial" w:hint="eastAsia"/>
          <w:kern w:val="0"/>
          <w:szCs w:val="21"/>
        </w:rPr>
        <w:t>C0 high/C1 high</w:t>
      </w:r>
      <w:r>
        <w:rPr>
          <w:rFonts w:ascii="Times New Roman" w:eastAsia="SimSun" w:hAnsi="Times New Roman" w:cs="Arial"/>
          <w:kern w:val="0"/>
          <w:szCs w:val="21"/>
        </w:rPr>
        <w:t xml:space="preserve">”). </w:t>
      </w:r>
    </w:p>
    <w:p w14:paraId="2FA4CA04" w14:textId="77777777" w:rsidR="00D910F4" w:rsidRDefault="00D910F4" w:rsidP="00D910F4">
      <w:pPr>
        <w:spacing w:line="480" w:lineRule="auto"/>
        <w:rPr>
          <w:rFonts w:ascii="Times New Roman" w:eastAsia="SimSun" w:hAnsi="Times New Roman" w:cs="Arial"/>
          <w:kern w:val="0"/>
          <w:szCs w:val="21"/>
        </w:rPr>
      </w:pPr>
      <w:r w:rsidRPr="00333322">
        <w:rPr>
          <w:rFonts w:ascii="Times New Roman" w:eastAsia="SimSun" w:hAnsi="Times New Roman" w:cs="Arial"/>
          <w:b/>
          <w:bCs/>
          <w:kern w:val="0"/>
          <w:szCs w:val="21"/>
        </w:rPr>
        <w:t>Supplementary Figure 7.</w:t>
      </w:r>
      <w:r w:rsidRPr="00EC6179">
        <w:rPr>
          <w:rFonts w:ascii="Times New Roman" w:eastAsia="SimSun" w:hAnsi="Times New Roman" w:cs="Arial"/>
          <w:b/>
          <w:bCs/>
          <w:kern w:val="0"/>
          <w:szCs w:val="21"/>
        </w:rPr>
        <w:t xml:space="preserve"> </w:t>
      </w:r>
      <w:r>
        <w:rPr>
          <w:rFonts w:ascii="Times New Roman" w:eastAsia="SimSun" w:hAnsi="Times New Roman" w:cs="Arial" w:hint="eastAsia"/>
          <w:b/>
          <w:bCs/>
          <w:kern w:val="0"/>
          <w:szCs w:val="21"/>
        </w:rPr>
        <w:t xml:space="preserve">MFR and CAFF </w:t>
      </w:r>
      <w:r>
        <w:rPr>
          <w:rFonts w:ascii="Times New Roman" w:eastAsia="SimSun" w:hAnsi="Times New Roman" w:cs="Arial"/>
          <w:b/>
          <w:bCs/>
          <w:kern w:val="0"/>
          <w:szCs w:val="21"/>
        </w:rPr>
        <w:t xml:space="preserve">status </w:t>
      </w:r>
      <w:r>
        <w:rPr>
          <w:rFonts w:ascii="Times New Roman" w:eastAsia="SimSun" w:hAnsi="Times New Roman" w:cs="Arial" w:hint="eastAsia"/>
          <w:b/>
          <w:bCs/>
          <w:kern w:val="0"/>
          <w:szCs w:val="21"/>
        </w:rPr>
        <w:t>during treatment</w:t>
      </w:r>
      <w:r>
        <w:rPr>
          <w:rFonts w:ascii="Times New Roman" w:eastAsia="SimSun" w:hAnsi="Times New Roman" w:cs="Arial"/>
          <w:b/>
          <w:bCs/>
          <w:kern w:val="0"/>
          <w:szCs w:val="21"/>
        </w:rPr>
        <w:t xml:space="preserve"> are associated with </w:t>
      </w:r>
      <w:r>
        <w:rPr>
          <w:rFonts w:ascii="Times New Roman" w:eastAsia="SimSun" w:hAnsi="Times New Roman" w:cs="Arial" w:hint="eastAsia"/>
          <w:b/>
          <w:bCs/>
          <w:kern w:val="0"/>
          <w:szCs w:val="21"/>
        </w:rPr>
        <w:t>pCR</w:t>
      </w:r>
      <w:r>
        <w:rPr>
          <w:rFonts w:ascii="Times New Roman" w:eastAsia="SimSun" w:hAnsi="Times New Roman" w:cs="Arial"/>
          <w:kern w:val="0"/>
          <w:szCs w:val="21"/>
        </w:rPr>
        <w:t>.</w:t>
      </w:r>
    </w:p>
    <w:p w14:paraId="5FE6BFF0" w14:textId="77777777" w:rsidR="00D910F4" w:rsidRDefault="00D910F4" w:rsidP="00D910F4">
      <w:pPr>
        <w:spacing w:line="480" w:lineRule="auto"/>
        <w:rPr>
          <w:rFonts w:ascii="Times New Roman" w:eastAsia="SimSun" w:hAnsi="Times New Roman" w:cs="Arial"/>
          <w:kern w:val="0"/>
          <w:szCs w:val="21"/>
        </w:rPr>
      </w:pPr>
      <w:r>
        <w:rPr>
          <w:rFonts w:ascii="Times New Roman" w:eastAsia="SimSun" w:hAnsi="Times New Roman" w:cs="Arial"/>
          <w:kern w:val="0"/>
          <w:szCs w:val="21"/>
        </w:rPr>
        <w:t>(</w:t>
      </w:r>
      <w:r>
        <w:rPr>
          <w:rFonts w:ascii="Times New Roman" w:eastAsia="SimSun" w:hAnsi="Times New Roman" w:cs="Arial" w:hint="eastAsia"/>
          <w:kern w:val="0"/>
          <w:szCs w:val="21"/>
        </w:rPr>
        <w:t>A</w:t>
      </w:r>
      <w:r>
        <w:rPr>
          <w:rFonts w:ascii="Times New Roman" w:eastAsia="SimSun" w:hAnsi="Times New Roman" w:cs="Arial"/>
          <w:kern w:val="0"/>
          <w:szCs w:val="21"/>
        </w:rPr>
        <w:t>) All patients were classified into thr</w:t>
      </w:r>
      <w:r>
        <w:rPr>
          <w:rFonts w:ascii="Times New Roman" w:eastAsia="SimSun" w:hAnsi="Times New Roman" w:cs="Arial" w:hint="eastAsia"/>
          <w:kern w:val="0"/>
          <w:szCs w:val="21"/>
        </w:rPr>
        <w:t xml:space="preserve">ee patterns </w:t>
      </w:r>
      <w:r>
        <w:rPr>
          <w:rFonts w:ascii="Times New Roman" w:eastAsia="SimSun" w:hAnsi="Times New Roman" w:cs="Arial"/>
          <w:kern w:val="0"/>
          <w:szCs w:val="21"/>
        </w:rPr>
        <w:t>as defined by MFR status at C0 and C1 (</w:t>
      </w:r>
      <w:r>
        <w:rPr>
          <w:rFonts w:ascii="Times New Roman" w:eastAsia="SimSun" w:hAnsi="Times New Roman" w:cs="Arial" w:hint="eastAsia"/>
          <w:kern w:val="0"/>
          <w:szCs w:val="21"/>
        </w:rPr>
        <w:t xml:space="preserve">the </w:t>
      </w:r>
      <w:r>
        <w:rPr>
          <w:rFonts w:ascii="Times New Roman" w:eastAsia="SimSun" w:hAnsi="Times New Roman" w:cs="Arial"/>
          <w:kern w:val="0"/>
          <w:szCs w:val="21"/>
        </w:rPr>
        <w:t>“</w:t>
      </w:r>
      <w:r>
        <w:rPr>
          <w:rFonts w:ascii="Times New Roman" w:eastAsia="SimSun" w:hAnsi="Times New Roman" w:cs="Arial" w:hint="eastAsia"/>
          <w:kern w:val="0"/>
          <w:szCs w:val="21"/>
        </w:rPr>
        <w:t>C0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the </w:t>
      </w:r>
      <w:r>
        <w:rPr>
          <w:rFonts w:ascii="Times New Roman" w:eastAsia="SimSun" w:hAnsi="Times New Roman" w:cs="Arial"/>
          <w:kern w:val="0"/>
          <w:szCs w:val="21"/>
        </w:rPr>
        <w:t>“</w:t>
      </w:r>
      <w:r>
        <w:rPr>
          <w:rFonts w:ascii="Times New Roman" w:eastAsia="SimSun" w:hAnsi="Times New Roman" w:cs="Arial" w:hint="eastAsia"/>
          <w:kern w:val="0"/>
          <w:szCs w:val="21"/>
        </w:rPr>
        <w:t>C0 high/C1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and the </w:t>
      </w:r>
      <w:r>
        <w:rPr>
          <w:rFonts w:ascii="Times New Roman" w:eastAsia="SimSun" w:hAnsi="Times New Roman" w:cs="Arial"/>
          <w:kern w:val="0"/>
          <w:szCs w:val="21"/>
        </w:rPr>
        <w:t>“</w:t>
      </w:r>
      <w:r>
        <w:rPr>
          <w:rFonts w:ascii="Times New Roman" w:eastAsia="SimSun" w:hAnsi="Times New Roman" w:cs="Arial" w:hint="eastAsia"/>
          <w:kern w:val="0"/>
          <w:szCs w:val="21"/>
        </w:rPr>
        <w:t>C0 high/C1 high</w:t>
      </w:r>
      <w:r>
        <w:rPr>
          <w:rFonts w:ascii="Times New Roman" w:eastAsia="SimSun" w:hAnsi="Times New Roman" w:cs="Arial"/>
          <w:kern w:val="0"/>
          <w:szCs w:val="21"/>
        </w:rPr>
        <w:t>”). Dynamic change pattern</w:t>
      </w:r>
      <w:r>
        <w:rPr>
          <w:rFonts w:ascii="Times New Roman" w:eastAsia="SimSun" w:hAnsi="Times New Roman" w:cs="Arial" w:hint="eastAsia"/>
          <w:kern w:val="0"/>
          <w:szCs w:val="21"/>
        </w:rPr>
        <w:t>s</w:t>
      </w:r>
      <w:r>
        <w:rPr>
          <w:rFonts w:ascii="Times New Roman" w:eastAsia="SimSun" w:hAnsi="Times New Roman" w:cs="Arial"/>
          <w:kern w:val="0"/>
          <w:szCs w:val="21"/>
        </w:rPr>
        <w:t xml:space="preserve"> of MFR score </w:t>
      </w:r>
      <w:r>
        <w:rPr>
          <w:rFonts w:ascii="Times New Roman" w:eastAsia="SimSun" w:hAnsi="Times New Roman" w:cs="Arial" w:hint="eastAsia"/>
          <w:kern w:val="0"/>
          <w:szCs w:val="21"/>
        </w:rPr>
        <w:t>were</w:t>
      </w:r>
      <w:r>
        <w:rPr>
          <w:rFonts w:ascii="Times New Roman" w:eastAsia="SimSun" w:hAnsi="Times New Roman" w:cs="Arial"/>
          <w:kern w:val="0"/>
          <w:szCs w:val="21"/>
        </w:rPr>
        <w:t xml:space="preserve"> shown at each patient level from C0 to BS. (</w:t>
      </w:r>
      <w:r>
        <w:rPr>
          <w:rFonts w:ascii="Times New Roman" w:eastAsia="SimSun" w:hAnsi="Times New Roman" w:cs="Arial" w:hint="eastAsia"/>
          <w:kern w:val="0"/>
          <w:szCs w:val="21"/>
        </w:rPr>
        <w:t>B</w:t>
      </w:r>
      <w:r>
        <w:rPr>
          <w:rFonts w:ascii="Times New Roman" w:eastAsia="SimSun" w:hAnsi="Times New Roman" w:cs="Arial"/>
          <w:kern w:val="0"/>
          <w:szCs w:val="21"/>
        </w:rPr>
        <w:t>) All patients were classified into different</w:t>
      </w:r>
      <w:r>
        <w:rPr>
          <w:rFonts w:ascii="Times New Roman" w:eastAsia="SimSun" w:hAnsi="Times New Roman" w:cs="Arial" w:hint="eastAsia"/>
          <w:kern w:val="0"/>
          <w:szCs w:val="21"/>
        </w:rPr>
        <w:t xml:space="preserve"> patterns</w:t>
      </w:r>
      <w:r>
        <w:rPr>
          <w:rFonts w:ascii="Times New Roman" w:eastAsia="SimSun" w:hAnsi="Times New Roman" w:cs="Arial"/>
          <w:kern w:val="0"/>
          <w:szCs w:val="21"/>
        </w:rPr>
        <w:t xml:space="preserve"> as defined by CAFF status at C0 and C1 (</w:t>
      </w:r>
      <w:r>
        <w:rPr>
          <w:rFonts w:ascii="Times New Roman" w:eastAsia="SimSun" w:hAnsi="Times New Roman" w:cs="Arial" w:hint="eastAsia"/>
          <w:kern w:val="0"/>
          <w:szCs w:val="21"/>
        </w:rPr>
        <w:t xml:space="preserve">the </w:t>
      </w:r>
      <w:r>
        <w:rPr>
          <w:rFonts w:ascii="Times New Roman" w:eastAsia="SimSun" w:hAnsi="Times New Roman" w:cs="Arial"/>
          <w:kern w:val="0"/>
          <w:szCs w:val="21"/>
        </w:rPr>
        <w:t>“</w:t>
      </w:r>
      <w:r>
        <w:rPr>
          <w:rFonts w:ascii="Times New Roman" w:eastAsia="SimSun" w:hAnsi="Times New Roman" w:cs="Arial" w:hint="eastAsia"/>
          <w:kern w:val="0"/>
          <w:szCs w:val="21"/>
        </w:rPr>
        <w:t>C0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the </w:t>
      </w:r>
      <w:r>
        <w:rPr>
          <w:rFonts w:ascii="Times New Roman" w:eastAsia="SimSun" w:hAnsi="Times New Roman" w:cs="Arial"/>
          <w:kern w:val="0"/>
          <w:szCs w:val="21"/>
        </w:rPr>
        <w:t>“</w:t>
      </w:r>
      <w:r>
        <w:rPr>
          <w:rFonts w:ascii="Times New Roman" w:eastAsia="SimSun" w:hAnsi="Times New Roman" w:cs="Arial" w:hint="eastAsia"/>
          <w:kern w:val="0"/>
          <w:szCs w:val="21"/>
        </w:rPr>
        <w:t>C0 high/C1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and the </w:t>
      </w:r>
      <w:r>
        <w:rPr>
          <w:rFonts w:ascii="Times New Roman" w:eastAsia="SimSun" w:hAnsi="Times New Roman" w:cs="Arial"/>
          <w:kern w:val="0"/>
          <w:szCs w:val="21"/>
        </w:rPr>
        <w:t>“</w:t>
      </w:r>
      <w:r>
        <w:rPr>
          <w:rFonts w:ascii="Times New Roman" w:eastAsia="SimSun" w:hAnsi="Times New Roman" w:cs="Arial" w:hint="eastAsia"/>
          <w:kern w:val="0"/>
          <w:szCs w:val="21"/>
        </w:rPr>
        <w:t>C0 high/C1 high</w:t>
      </w:r>
      <w:r>
        <w:rPr>
          <w:rFonts w:ascii="Times New Roman" w:eastAsia="SimSun" w:hAnsi="Times New Roman" w:cs="Arial"/>
          <w:kern w:val="0"/>
          <w:szCs w:val="21"/>
        </w:rPr>
        <w:t>”). Dynamic change pattern</w:t>
      </w:r>
      <w:r>
        <w:rPr>
          <w:rFonts w:ascii="Times New Roman" w:eastAsia="SimSun" w:hAnsi="Times New Roman" w:cs="Arial" w:hint="eastAsia"/>
          <w:kern w:val="0"/>
          <w:szCs w:val="21"/>
        </w:rPr>
        <w:t>s</w:t>
      </w:r>
      <w:r>
        <w:rPr>
          <w:rFonts w:ascii="Times New Roman" w:eastAsia="SimSun" w:hAnsi="Times New Roman" w:cs="Arial"/>
          <w:kern w:val="0"/>
          <w:szCs w:val="21"/>
        </w:rPr>
        <w:t xml:space="preserve"> of CAFF score w</w:t>
      </w:r>
      <w:r>
        <w:rPr>
          <w:rFonts w:ascii="Times New Roman" w:eastAsia="SimSun" w:hAnsi="Times New Roman" w:cs="Arial" w:hint="eastAsia"/>
          <w:kern w:val="0"/>
          <w:szCs w:val="21"/>
        </w:rPr>
        <w:t>ere</w:t>
      </w:r>
      <w:r>
        <w:rPr>
          <w:rFonts w:ascii="Times New Roman" w:eastAsia="SimSun" w:hAnsi="Times New Roman" w:cs="Arial"/>
          <w:kern w:val="0"/>
          <w:szCs w:val="21"/>
        </w:rPr>
        <w:t xml:space="preserve"> shown at patient level from C0 to BS.</w:t>
      </w:r>
      <w:r>
        <w:rPr>
          <w:rFonts w:ascii="Times New Roman" w:eastAsia="SimSun" w:hAnsi="Times New Roman" w:cs="Arial" w:hint="eastAsia"/>
          <w:kern w:val="0"/>
          <w:szCs w:val="21"/>
        </w:rPr>
        <w:t xml:space="preserve"> </w:t>
      </w:r>
      <w:r>
        <w:rPr>
          <w:rFonts w:ascii="Times New Roman" w:eastAsia="SimSun" w:hAnsi="Times New Roman" w:cs="Arial"/>
          <w:kern w:val="0"/>
          <w:szCs w:val="21"/>
        </w:rPr>
        <w:t xml:space="preserve"> </w:t>
      </w:r>
      <w:r>
        <w:rPr>
          <w:rFonts w:ascii="Times New Roman" w:eastAsia="SimSun" w:hAnsi="Times New Roman" w:cs="Arial" w:hint="eastAsia"/>
          <w:kern w:val="0"/>
          <w:szCs w:val="21"/>
        </w:rPr>
        <w:t xml:space="preserve"> </w:t>
      </w:r>
    </w:p>
    <w:p w14:paraId="325E34C7" w14:textId="77777777" w:rsidR="00D910F4" w:rsidRDefault="00D910F4" w:rsidP="00D910F4">
      <w:pPr>
        <w:widowControl/>
        <w:spacing w:line="480" w:lineRule="auto"/>
        <w:rPr>
          <w:rFonts w:ascii="Times New Roman" w:eastAsia="SimSun" w:hAnsi="Times New Roman" w:cs="Arial"/>
          <w:kern w:val="0"/>
          <w:szCs w:val="21"/>
        </w:rPr>
      </w:pPr>
      <w:r>
        <w:rPr>
          <w:rFonts w:ascii="Times New Roman" w:eastAsia="SimSun" w:hAnsi="Times New Roman" w:cs="Arial"/>
          <w:kern w:val="0"/>
          <w:szCs w:val="21"/>
        </w:rPr>
        <w:t xml:space="preserve">The three </w:t>
      </w:r>
      <w:r>
        <w:rPr>
          <w:rFonts w:ascii="Times New Roman" w:eastAsia="SimSun" w:hAnsi="Times New Roman" w:cs="Arial" w:hint="eastAsia"/>
          <w:kern w:val="0"/>
          <w:szCs w:val="21"/>
        </w:rPr>
        <w:t>patterns</w:t>
      </w:r>
      <w:r>
        <w:rPr>
          <w:rFonts w:ascii="Times New Roman" w:eastAsia="SimSun" w:hAnsi="Times New Roman" w:cs="Arial"/>
          <w:kern w:val="0"/>
          <w:szCs w:val="21"/>
        </w:rPr>
        <w:t xml:space="preserve"> (</w:t>
      </w:r>
      <w:r>
        <w:rPr>
          <w:rFonts w:ascii="Times New Roman" w:eastAsia="SimSun" w:hAnsi="Times New Roman" w:cs="Arial" w:hint="eastAsia"/>
          <w:kern w:val="0"/>
          <w:szCs w:val="21"/>
        </w:rPr>
        <w:t xml:space="preserve">the </w:t>
      </w:r>
      <w:r>
        <w:rPr>
          <w:rFonts w:ascii="Times New Roman" w:eastAsia="SimSun" w:hAnsi="Times New Roman" w:cs="Arial"/>
          <w:kern w:val="0"/>
          <w:szCs w:val="21"/>
        </w:rPr>
        <w:t>“</w:t>
      </w:r>
      <w:r>
        <w:rPr>
          <w:rFonts w:ascii="Times New Roman" w:eastAsia="SimSun" w:hAnsi="Times New Roman" w:cs="Arial" w:hint="eastAsia"/>
          <w:kern w:val="0"/>
          <w:szCs w:val="21"/>
        </w:rPr>
        <w:t>C0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the </w:t>
      </w:r>
      <w:r>
        <w:rPr>
          <w:rFonts w:ascii="Times New Roman" w:eastAsia="SimSun" w:hAnsi="Times New Roman" w:cs="Arial"/>
          <w:kern w:val="0"/>
          <w:szCs w:val="21"/>
        </w:rPr>
        <w:t>“</w:t>
      </w:r>
      <w:r>
        <w:rPr>
          <w:rFonts w:ascii="Times New Roman" w:eastAsia="SimSun" w:hAnsi="Times New Roman" w:cs="Arial" w:hint="eastAsia"/>
          <w:kern w:val="0"/>
          <w:szCs w:val="21"/>
        </w:rPr>
        <w:t>C0 high/C1 low</w:t>
      </w:r>
      <w:r>
        <w:rPr>
          <w:rFonts w:ascii="Times New Roman" w:eastAsia="SimSun" w:hAnsi="Times New Roman" w:cs="Arial"/>
          <w:kern w:val="0"/>
          <w:szCs w:val="21"/>
        </w:rPr>
        <w:t>”</w:t>
      </w:r>
      <w:r>
        <w:rPr>
          <w:rFonts w:ascii="Times New Roman" w:eastAsia="SimSun" w:hAnsi="Times New Roman" w:cs="Arial" w:hint="eastAsia"/>
          <w:kern w:val="0"/>
          <w:szCs w:val="21"/>
        </w:rPr>
        <w:t xml:space="preserve"> and the </w:t>
      </w:r>
      <w:r>
        <w:rPr>
          <w:rFonts w:ascii="Times New Roman" w:eastAsia="SimSun" w:hAnsi="Times New Roman" w:cs="Arial"/>
          <w:kern w:val="0"/>
          <w:szCs w:val="21"/>
        </w:rPr>
        <w:t>“</w:t>
      </w:r>
      <w:r>
        <w:rPr>
          <w:rFonts w:ascii="Times New Roman" w:eastAsia="SimSun" w:hAnsi="Times New Roman" w:cs="Arial" w:hint="eastAsia"/>
          <w:kern w:val="0"/>
          <w:szCs w:val="21"/>
        </w:rPr>
        <w:t>C0 high/C1 high</w:t>
      </w:r>
      <w:r>
        <w:rPr>
          <w:rFonts w:ascii="Times New Roman" w:eastAsia="SimSun" w:hAnsi="Times New Roman" w:cs="Arial"/>
          <w:kern w:val="0"/>
          <w:szCs w:val="21"/>
        </w:rPr>
        <w:t>”) w</w:t>
      </w:r>
      <w:r>
        <w:rPr>
          <w:rFonts w:ascii="Times New Roman" w:eastAsia="SimSun" w:hAnsi="Times New Roman" w:cs="Arial" w:hint="eastAsia"/>
          <w:kern w:val="0"/>
          <w:szCs w:val="21"/>
        </w:rPr>
        <w:t>ere</w:t>
      </w:r>
      <w:r>
        <w:rPr>
          <w:rFonts w:ascii="Times New Roman" w:eastAsia="SimSun" w:hAnsi="Times New Roman" w:cs="Arial"/>
          <w:kern w:val="0"/>
          <w:szCs w:val="21"/>
        </w:rPr>
        <w:t xml:space="preserve"> defined as previously mentioned in </w:t>
      </w:r>
      <w:r>
        <w:rPr>
          <w:rFonts w:ascii="Times New Roman" w:eastAsia="SimSun" w:hAnsi="Times New Roman" w:cs="Arial" w:hint="eastAsia"/>
          <w:kern w:val="0"/>
          <w:szCs w:val="21"/>
        </w:rPr>
        <w:t>F</w:t>
      </w:r>
      <w:r>
        <w:rPr>
          <w:rFonts w:ascii="Times New Roman" w:eastAsia="SimSun" w:hAnsi="Times New Roman" w:cs="Arial"/>
          <w:kern w:val="0"/>
          <w:szCs w:val="21"/>
        </w:rPr>
        <w:t xml:space="preserve">igure </w:t>
      </w:r>
      <w:r>
        <w:rPr>
          <w:rFonts w:ascii="Times New Roman" w:eastAsia="SimSun" w:hAnsi="Times New Roman" w:cs="Arial" w:hint="eastAsia"/>
          <w:kern w:val="0"/>
          <w:szCs w:val="21"/>
        </w:rPr>
        <w:t>5</w:t>
      </w:r>
      <w:r>
        <w:rPr>
          <w:rFonts w:ascii="Times New Roman" w:eastAsia="SimSun" w:hAnsi="Times New Roman" w:cs="Arial"/>
          <w:kern w:val="0"/>
          <w:szCs w:val="21"/>
        </w:rPr>
        <w:t xml:space="preserve"> legend. </w:t>
      </w:r>
    </w:p>
    <w:p w14:paraId="631B80EB" w14:textId="77777777" w:rsidR="00D910F4" w:rsidRPr="00751926" w:rsidRDefault="00D910F4" w:rsidP="00D910F4">
      <w:pPr>
        <w:spacing w:line="480" w:lineRule="auto"/>
        <w:rPr>
          <w:rFonts w:ascii="Times New Roman" w:eastAsia="SimSun" w:hAnsi="Times New Roman" w:cs="Arial"/>
          <w:kern w:val="0"/>
          <w:szCs w:val="21"/>
        </w:rPr>
      </w:pPr>
      <w:r w:rsidRPr="00333322">
        <w:rPr>
          <w:rFonts w:ascii="Times New Roman" w:eastAsia="SimSun" w:hAnsi="Times New Roman" w:cs="Arial"/>
          <w:b/>
          <w:bCs/>
          <w:kern w:val="0"/>
          <w:szCs w:val="21"/>
        </w:rPr>
        <w:t>Supplementary Figure 8.</w:t>
      </w:r>
      <w:r>
        <w:rPr>
          <w:rFonts w:ascii="Times New Roman" w:eastAsia="SimSun" w:hAnsi="Times New Roman" w:cs="Arial"/>
          <w:kern w:val="0"/>
          <w:szCs w:val="21"/>
        </w:rPr>
        <w:t xml:space="preserve"> (A) AUC to show the predictive performance of each single biomarker (MFR or CAFF) at either </w:t>
      </w:r>
      <w:r>
        <w:rPr>
          <w:rFonts w:ascii="Times New Roman" w:eastAsia="SimSun" w:hAnsi="Times New Roman" w:cs="Arial" w:hint="eastAsia"/>
          <w:kern w:val="0"/>
          <w:szCs w:val="21"/>
        </w:rPr>
        <w:t xml:space="preserve">each time point </w:t>
      </w:r>
      <w:r>
        <w:rPr>
          <w:rFonts w:ascii="Times New Roman" w:eastAsia="SimSun" w:hAnsi="Times New Roman" w:cs="Arial"/>
          <w:kern w:val="0"/>
          <w:szCs w:val="21"/>
        </w:rPr>
        <w:t>(BS or C1)</w:t>
      </w:r>
      <w:r>
        <w:rPr>
          <w:rFonts w:ascii="Times New Roman" w:eastAsia="SimSun" w:hAnsi="Times New Roman" w:cs="Arial" w:hint="eastAsia"/>
          <w:kern w:val="0"/>
          <w:szCs w:val="21"/>
        </w:rPr>
        <w:t xml:space="preserve"> </w:t>
      </w:r>
      <w:r>
        <w:rPr>
          <w:rFonts w:ascii="Times New Roman" w:eastAsia="SimSun" w:hAnsi="Times New Roman" w:cs="Arial"/>
          <w:kern w:val="0"/>
          <w:szCs w:val="21"/>
        </w:rPr>
        <w:t xml:space="preserve">or both in predicting MPR. (B) Prediction performance comparison between and the model based on PD-L1 and CD8+/CD28- alone (colored in green) and the combined model integrating clinical parameters together with molecular biomarkers (colored in red). C-index </w:t>
      </w:r>
      <w:r>
        <w:rPr>
          <w:rFonts w:ascii="Times New Roman" w:eastAsia="SimSun" w:hAnsi="Times New Roman" w:cs="Arial" w:hint="eastAsia"/>
          <w:kern w:val="0"/>
          <w:szCs w:val="21"/>
        </w:rPr>
        <w:t>distribution</w:t>
      </w:r>
      <w:r>
        <w:rPr>
          <w:rFonts w:ascii="Times New Roman" w:eastAsia="SimSun" w:hAnsi="Times New Roman" w:cs="Arial"/>
          <w:kern w:val="0"/>
          <w:szCs w:val="21"/>
        </w:rPr>
        <w:t xml:space="preserve"> for each model was estimated by </w:t>
      </w:r>
      <w:r>
        <w:rPr>
          <w:rFonts w:ascii="Times New Roman" w:eastAsia="SimSun" w:hAnsi="Times New Roman" w:cs="Arial" w:hint="eastAsia"/>
          <w:kern w:val="0"/>
          <w:szCs w:val="21"/>
        </w:rPr>
        <w:t xml:space="preserve">1000 times </w:t>
      </w:r>
      <w:r>
        <w:rPr>
          <w:rFonts w:ascii="Times New Roman" w:eastAsia="SimSun" w:hAnsi="Times New Roman" w:cs="Arial"/>
          <w:kern w:val="0"/>
          <w:szCs w:val="21"/>
        </w:rPr>
        <w:t>bootstrap samplings. Dash line indicated the median c-index for each model. p-value was calculated.</w:t>
      </w:r>
    </w:p>
    <w:p w14:paraId="06598F30" w14:textId="77777777" w:rsidR="0038214D" w:rsidRDefault="0038214D"/>
    <w:sectPr w:rsidR="0038214D" w:rsidSect="00D910F4">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0F4"/>
    <w:rsid w:val="00235F39"/>
    <w:rsid w:val="002A5D71"/>
    <w:rsid w:val="0038214D"/>
    <w:rsid w:val="00AD7A41"/>
    <w:rsid w:val="00AE732B"/>
    <w:rsid w:val="00CF3EC8"/>
    <w:rsid w:val="00D910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6D90F"/>
  <w15:chartTrackingRefBased/>
  <w15:docId w15:val="{BA6C3762-35B9-46AB-9CF6-CCA2A7430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10F4"/>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D910F4"/>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910F4"/>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910F4"/>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910F4"/>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D910F4"/>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D910F4"/>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D910F4"/>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D910F4"/>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D910F4"/>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10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10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10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10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10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10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10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10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10F4"/>
    <w:rPr>
      <w:rFonts w:eastAsiaTheme="majorEastAsia" w:cstheme="majorBidi"/>
      <w:color w:val="272727" w:themeColor="text1" w:themeTint="D8"/>
    </w:rPr>
  </w:style>
  <w:style w:type="paragraph" w:styleId="Title">
    <w:name w:val="Title"/>
    <w:basedOn w:val="Normal"/>
    <w:next w:val="Normal"/>
    <w:link w:val="TitleChar"/>
    <w:uiPriority w:val="10"/>
    <w:qFormat/>
    <w:rsid w:val="00D910F4"/>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910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10F4"/>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D910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10F4"/>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D910F4"/>
    <w:rPr>
      <w:i/>
      <w:iCs/>
      <w:color w:val="404040" w:themeColor="text1" w:themeTint="BF"/>
    </w:rPr>
  </w:style>
  <w:style w:type="paragraph" w:styleId="ListParagraph">
    <w:name w:val="List Paragraph"/>
    <w:basedOn w:val="Normal"/>
    <w:uiPriority w:val="34"/>
    <w:qFormat/>
    <w:rsid w:val="00D910F4"/>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D910F4"/>
    <w:rPr>
      <w:i/>
      <w:iCs/>
      <w:color w:val="0F4761" w:themeColor="accent1" w:themeShade="BF"/>
    </w:rPr>
  </w:style>
  <w:style w:type="paragraph" w:styleId="IntenseQuote">
    <w:name w:val="Intense Quote"/>
    <w:basedOn w:val="Normal"/>
    <w:next w:val="Normal"/>
    <w:link w:val="IntenseQuoteChar"/>
    <w:uiPriority w:val="30"/>
    <w:qFormat/>
    <w:rsid w:val="00D910F4"/>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D910F4"/>
    <w:rPr>
      <w:i/>
      <w:iCs/>
      <w:color w:val="0F4761" w:themeColor="accent1" w:themeShade="BF"/>
    </w:rPr>
  </w:style>
  <w:style w:type="character" w:styleId="IntenseReference">
    <w:name w:val="Intense Reference"/>
    <w:basedOn w:val="DefaultParagraphFont"/>
    <w:uiPriority w:val="32"/>
    <w:qFormat/>
    <w:rsid w:val="00D910F4"/>
    <w:rPr>
      <w:b/>
      <w:bCs/>
      <w:smallCaps/>
      <w:color w:val="0F4761" w:themeColor="accent1" w:themeShade="BF"/>
      <w:spacing w:val="5"/>
    </w:rPr>
  </w:style>
  <w:style w:type="character" w:styleId="LineNumber">
    <w:name w:val="line number"/>
    <w:basedOn w:val="DefaultParagraphFont"/>
    <w:uiPriority w:val="99"/>
    <w:semiHidden/>
    <w:unhideWhenUsed/>
    <w:rsid w:val="00D910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783</Words>
  <Characters>4468</Characters>
  <Application>Microsoft Office Word</Application>
  <DocSecurity>0</DocSecurity>
  <Lines>37</Lines>
  <Paragraphs>10</Paragraphs>
  <ScaleCrop>false</ScaleCrop>
  <Company>Springer Nature</Company>
  <LinksUpToDate>false</LinksUpToDate>
  <CharactersWithSpaces>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2024-11-07T10:00:00Z</dcterms:created>
  <dcterms:modified xsi:type="dcterms:W3CDTF">2024-11-07T10:00:00Z</dcterms:modified>
</cp:coreProperties>
</file>