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944" w:tblpY="731"/>
        <w:tblOverlap w:val="never"/>
        <w:tblW w:w="94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8"/>
        <w:gridCol w:w="639"/>
        <w:gridCol w:w="566"/>
        <w:gridCol w:w="594"/>
        <w:gridCol w:w="875"/>
        <w:gridCol w:w="1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GeneSet</w:t>
            </w:r>
          </w:p>
        </w:tc>
        <w:tc>
          <w:tcPr>
            <w:tcW w:w="639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SIZE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</w:t>
            </w:r>
          </w:p>
        </w:tc>
        <w:tc>
          <w:tcPr>
            <w:tcW w:w="594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NES</w:t>
            </w:r>
          </w:p>
        </w:tc>
        <w:tc>
          <w:tcPr>
            <w:tcW w:w="87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FDR q-val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RANK AT MAX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HALLMARK_EPITHELIAL_MESENCHYMAL_TRANSITION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3.08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HALLMARK_HYPOXIA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2.97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HALLMARK_ALLOGRAFT_REJECTION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2.92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HALLMARK_INTERFERON_ALPHA_RESPONSE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HALLMARK_IL6_JAK_STAT3_SIGNALING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2.84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HALLMARK_COAGULATION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HALLMARK_INFLAMMATORY_RESPONSE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HALLMARK_GLYCOLYSIS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HALLMARK_COMPLEMENT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HALLMARK_IL2_STAT5_SIGNALING</w:t>
            </w:r>
          </w:p>
        </w:tc>
        <w:tc>
          <w:tcPr>
            <w:tcW w:w="639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66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594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2.61</w:t>
            </w:r>
          </w:p>
        </w:tc>
        <w:tc>
          <w:tcPr>
            <w:tcW w:w="875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4906</w:t>
            </w:r>
          </w:p>
        </w:tc>
      </w:tr>
    </w:tbl>
    <w:p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Table 1 The comprehensive results of this GSEA analysis on the CGGA database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1045E2"/>
    <w:rsid w:val="24B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499</Characters>
  <Lines>0</Lines>
  <Paragraphs>0</Paragraphs>
  <TotalTime>0</TotalTime>
  <ScaleCrop>false</ScaleCrop>
  <LinksUpToDate>false</LinksUpToDate>
  <CharactersWithSpaces>502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2024-07-29T09:24:00Z</dcterms:created>
  <dc:creator>ligong</dc:creator>
  <cp:lastModifiedBy>龚理</cp:lastModifiedBy>
  <dcterms:modified xsi:type="dcterms:W3CDTF">2024-07-29T09:26:14Z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B8D2847DDB154E349EC4B82123AEF1B7_12</vt:lpwstr>
  </property>
</Properties>
</file>