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A161C1" w14:textId="1D27604F" w:rsidR="00D112F2" w:rsidRPr="0076710D" w:rsidRDefault="00D112F2" w:rsidP="00D112F2">
      <w:pPr>
        <w:rPr>
          <w:b/>
          <w:bCs/>
        </w:rPr>
      </w:pPr>
      <w:r>
        <w:rPr>
          <w:b/>
          <w:bCs/>
        </w:rPr>
        <w:t xml:space="preserve">Supplementary </w:t>
      </w:r>
      <w:r w:rsidRPr="0076710D">
        <w:rPr>
          <w:b/>
          <w:bCs/>
        </w:rPr>
        <w:t>Figure Captions</w:t>
      </w:r>
    </w:p>
    <w:p w14:paraId="1B2FE6EF" w14:textId="77777777" w:rsidR="00D112F2" w:rsidRDefault="00D112F2" w:rsidP="00D112F2"/>
    <w:p w14:paraId="17BB0CAF" w14:textId="77777777" w:rsidR="00D112F2" w:rsidRDefault="00D112F2" w:rsidP="00D112F2"/>
    <w:p w14:paraId="7DE24F57" w14:textId="77777777" w:rsidR="00D112F2" w:rsidRDefault="00D112F2" w:rsidP="00D112F2"/>
    <w:p w14:paraId="23730954" w14:textId="3B6E60FC" w:rsidR="00D112F2" w:rsidRPr="00D112F2" w:rsidRDefault="00D112F2" w:rsidP="00D112F2">
      <w:r w:rsidRPr="00D112F2">
        <w:t>Supplementary Figure 2.:  Choropleth maps of congenital anomaly class rates across QLD and NNSW</w:t>
      </w:r>
      <w:r>
        <w:t xml:space="preserve"> for Congenital anopmalies A-C</w:t>
      </w:r>
      <w:r w:rsidRPr="00D112F2">
        <w:t>.  High rates are shown in yellow and low rates in dark blue.</w:t>
      </w:r>
    </w:p>
    <w:p w14:paraId="2D3C400C" w14:textId="77777777" w:rsidR="00D112F2" w:rsidRPr="00D112F2" w:rsidRDefault="00D112F2" w:rsidP="00D112F2"/>
    <w:p w14:paraId="7B71E1B3" w14:textId="77777777" w:rsidR="00D112F2" w:rsidRPr="00D112F2" w:rsidRDefault="00D112F2" w:rsidP="00D112F2"/>
    <w:p w14:paraId="5AEC8BF5" w14:textId="3E43C967" w:rsidR="00D112F2" w:rsidRPr="00D112F2" w:rsidRDefault="00D112F2" w:rsidP="00D112F2">
      <w:r w:rsidRPr="00D112F2">
        <w:t>Supplementary Figure 2.:  Choropleth maps of congenital anomaly class rates across QLD and NNSW</w:t>
      </w:r>
      <w:r>
        <w:t xml:space="preserve"> for Congenital anopmalies </w:t>
      </w:r>
      <w:r>
        <w:t>C-P</w:t>
      </w:r>
      <w:r w:rsidRPr="00D112F2">
        <w:t>.  High rates are shown in yellow and low rates in dark blue.</w:t>
      </w:r>
    </w:p>
    <w:p w14:paraId="3FC220A1" w14:textId="77777777" w:rsidR="00D112F2" w:rsidRPr="00D112F2" w:rsidRDefault="00D112F2" w:rsidP="00D112F2"/>
    <w:p w14:paraId="156A862D" w14:textId="77777777" w:rsidR="00D112F2" w:rsidRPr="00D112F2" w:rsidRDefault="00D112F2" w:rsidP="00D112F2"/>
    <w:p w14:paraId="0F3994B0" w14:textId="2AB3B80D" w:rsidR="00D112F2" w:rsidRPr="00D112F2" w:rsidRDefault="00D112F2" w:rsidP="00D112F2">
      <w:r w:rsidRPr="00D112F2">
        <w:t>Supplementary Figure 2.:  Choropleth maps of congenital anomaly class rates across QLD and NNSW</w:t>
      </w:r>
      <w:r>
        <w:t xml:space="preserve"> for Congenital anopmalies </w:t>
      </w:r>
      <w:r>
        <w:t>R-Z</w:t>
      </w:r>
      <w:r w:rsidRPr="00D112F2">
        <w:t>.  High rates are shown in yellow and low rates in dark blue.</w:t>
      </w:r>
    </w:p>
    <w:p w14:paraId="4756740C" w14:textId="77777777" w:rsidR="00C56E3B" w:rsidRDefault="00C56E3B"/>
    <w:sectPr w:rsidR="00C56E3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2F2"/>
    <w:rsid w:val="00C56E3B"/>
    <w:rsid w:val="00D112F2"/>
    <w:rsid w:val="00DC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193CC"/>
  <w15:chartTrackingRefBased/>
  <w15:docId w15:val="{9C1B2129-3D82-4A81-9745-F99D31521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2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Reece</dc:creator>
  <cp:keywords/>
  <dc:description/>
  <cp:lastModifiedBy>Albert Reece</cp:lastModifiedBy>
  <cp:revision>1</cp:revision>
  <dcterms:created xsi:type="dcterms:W3CDTF">2020-09-12T10:18:00Z</dcterms:created>
  <dcterms:modified xsi:type="dcterms:W3CDTF">2020-09-12T10:19:00Z</dcterms:modified>
</cp:coreProperties>
</file>