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8BC" w:rsidRPr="00C71EE6" w:rsidRDefault="00FF28BC" w:rsidP="00FF28BC">
      <w:pPr>
        <w:suppressLineNumbers/>
        <w:tabs>
          <w:tab w:val="left" w:pos="2010"/>
        </w:tabs>
        <w:spacing w:after="0" w:line="480" w:lineRule="auto"/>
        <w:rPr>
          <w:rFonts w:asciiTheme="majorBidi" w:eastAsia="Calibri" w:hAnsiTheme="majorBidi" w:cstheme="majorBidi"/>
        </w:rPr>
      </w:pPr>
      <w:r w:rsidRPr="00C71EE6">
        <w:rPr>
          <w:rFonts w:asciiTheme="majorBidi" w:eastAsia="Calibri" w:hAnsiTheme="majorBidi" w:cstheme="majorBidi"/>
          <w:b/>
          <w:bCs/>
        </w:rPr>
        <w:t xml:space="preserve">Table 1. </w:t>
      </w:r>
      <w:r w:rsidRPr="00C71EE6">
        <w:rPr>
          <w:rFonts w:asciiTheme="majorBidi" w:eastAsia="Calibri" w:hAnsiTheme="majorBidi" w:cstheme="majorBidi"/>
        </w:rPr>
        <w:t>Primers sequences, accession numbers, and product size for the q-RT-PCR for the examined genes in the brain.</w:t>
      </w:r>
    </w:p>
    <w:tbl>
      <w:tblPr>
        <w:tblStyle w:val="PlainTable21"/>
        <w:tblW w:w="13788" w:type="dxa"/>
        <w:tblBorders>
          <w:insideH w:val="single" w:sz="4" w:space="0" w:color="7F7F7F"/>
        </w:tblBorders>
        <w:tblLook w:val="04A0" w:firstRow="1" w:lastRow="0" w:firstColumn="1" w:lastColumn="0" w:noHBand="0" w:noVBand="1"/>
      </w:tblPr>
      <w:tblGrid>
        <w:gridCol w:w="1480"/>
        <w:gridCol w:w="4398"/>
        <w:gridCol w:w="4022"/>
        <w:gridCol w:w="1325"/>
        <w:gridCol w:w="2563"/>
      </w:tblGrid>
      <w:tr w:rsidR="00FF28BC" w:rsidRPr="00FF28BC" w:rsidTr="00FF28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F28BC" w:rsidRPr="00FF28BC" w:rsidRDefault="00FF28BC" w:rsidP="009A72D5">
            <w:pPr>
              <w:tabs>
                <w:tab w:val="right" w:pos="4320"/>
              </w:tabs>
              <w:autoSpaceDE w:val="0"/>
              <w:autoSpaceDN w:val="0"/>
              <w:adjustRightInd w:val="0"/>
              <w:spacing w:line="360" w:lineRule="auto"/>
              <w:rPr>
                <w:rFonts w:asciiTheme="majorBidi" w:eastAsia="Calibri" w:hAnsiTheme="majorBidi" w:cstheme="majorBidi"/>
              </w:rPr>
            </w:pPr>
            <w:r w:rsidRPr="00FF28BC">
              <w:rPr>
                <w:rFonts w:asciiTheme="majorBidi" w:eastAsia="Calibri" w:hAnsiTheme="majorBidi" w:cstheme="majorBidi"/>
              </w:rPr>
              <w:t>Gene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9A72D5">
            <w:pPr>
              <w:tabs>
                <w:tab w:val="right" w:pos="4320"/>
              </w:tabs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FF28BC">
              <w:rPr>
                <w:rFonts w:asciiTheme="majorBidi" w:eastAsia="Calibri" w:hAnsiTheme="majorBidi" w:cstheme="majorBidi"/>
              </w:rPr>
              <w:t>Forward primer (5′–3′)</w:t>
            </w:r>
          </w:p>
        </w:tc>
        <w:tc>
          <w:tcPr>
            <w:tcW w:w="4022" w:type="dxa"/>
            <w:vAlign w:val="center"/>
          </w:tcPr>
          <w:p w:rsidR="00FF28BC" w:rsidRPr="00FF28BC" w:rsidRDefault="00FF28BC" w:rsidP="009A72D5">
            <w:pPr>
              <w:tabs>
                <w:tab w:val="right" w:pos="4320"/>
              </w:tabs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FF28BC">
              <w:rPr>
                <w:rFonts w:asciiTheme="majorBidi" w:eastAsia="Calibri" w:hAnsiTheme="majorBidi" w:cstheme="majorBidi"/>
              </w:rPr>
              <w:t>Reverse primer (5′–3′)</w:t>
            </w:r>
          </w:p>
        </w:tc>
        <w:tc>
          <w:tcPr>
            <w:tcW w:w="1325" w:type="dxa"/>
            <w:vAlign w:val="center"/>
          </w:tcPr>
          <w:p w:rsidR="00FF28BC" w:rsidRPr="00FF28BC" w:rsidRDefault="00FF28BC" w:rsidP="009A72D5">
            <w:pPr>
              <w:tabs>
                <w:tab w:val="right" w:pos="4320"/>
              </w:tabs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FF28BC">
              <w:rPr>
                <w:rFonts w:asciiTheme="majorBidi" w:eastAsia="Calibri" w:hAnsiTheme="majorBidi" w:cstheme="majorBidi"/>
              </w:rPr>
              <w:t>bp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9A72D5">
            <w:pPr>
              <w:tabs>
                <w:tab w:val="right" w:pos="4320"/>
              </w:tabs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</w:rPr>
            </w:pPr>
            <w:r w:rsidRPr="00FF28BC">
              <w:rPr>
                <w:rFonts w:asciiTheme="majorBidi" w:eastAsia="Calibri" w:hAnsiTheme="majorBidi" w:cstheme="majorBidi"/>
              </w:rPr>
              <w:t>Accession No.</w:t>
            </w:r>
          </w:p>
        </w:tc>
      </w:tr>
      <w:tr w:rsidR="00FF28BC" w:rsidRPr="00FF28BC" w:rsidTr="00FF2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F28BC" w:rsidRPr="00FF28BC" w:rsidRDefault="00FF28BC" w:rsidP="009A72D5">
            <w:pPr>
              <w:adjustRightInd w:val="0"/>
              <w:snapToGrid w:val="0"/>
              <w:spacing w:line="480" w:lineRule="auto"/>
              <w:jc w:val="both"/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</w:pPr>
            <w:r w:rsidRPr="00FF28BC"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  <w:t>Gabarap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GAGGAAACCACCGAGCTGA</w:t>
            </w:r>
          </w:p>
        </w:tc>
        <w:tc>
          <w:tcPr>
            <w:tcW w:w="4022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TCCTCCTTTCCCACCACTGA</w:t>
            </w:r>
          </w:p>
        </w:tc>
        <w:tc>
          <w:tcPr>
            <w:tcW w:w="1325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97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Theme="majorBidi" w:hAnsiTheme="majorBidi" w:cstheme="majorBidi"/>
              </w:rPr>
            </w:pPr>
            <w:hyperlink r:id="rId6" w:history="1">
              <w:r w:rsidRPr="00FF28BC">
                <w:rPr>
                  <w:rStyle w:val="Hyperlink"/>
                  <w:rFonts w:asciiTheme="majorBidi" w:hAnsiTheme="majorBidi" w:cstheme="majorBidi"/>
                </w:rPr>
                <w:t>NM_172036.4   </w:t>
              </w:r>
            </w:hyperlink>
          </w:p>
        </w:tc>
      </w:tr>
      <w:tr w:rsidR="00FF28BC" w:rsidRPr="00FF28BC" w:rsidTr="00FF28BC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F28BC" w:rsidRPr="00FF28BC" w:rsidRDefault="00FF28BC" w:rsidP="009A72D5">
            <w:pPr>
              <w:adjustRightInd w:val="0"/>
              <w:snapToGrid w:val="0"/>
              <w:spacing w:line="480" w:lineRule="auto"/>
              <w:jc w:val="both"/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</w:pPr>
            <w:r w:rsidRPr="00FF28BC"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  <w:t>Maoa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TGAAGCTGGAGAACGAGCA</w:t>
            </w:r>
          </w:p>
        </w:tc>
        <w:tc>
          <w:tcPr>
            <w:tcW w:w="4022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ATCTTGAGCAGACCAGGCAC</w:t>
            </w:r>
          </w:p>
        </w:tc>
        <w:tc>
          <w:tcPr>
            <w:tcW w:w="1325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165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Theme="majorBidi" w:hAnsiTheme="majorBidi" w:cstheme="majorBidi"/>
              </w:rPr>
            </w:pPr>
            <w:r w:rsidRPr="00FF28BC">
              <w:rPr>
                <w:rStyle w:val="Hyperlink"/>
                <w:rFonts w:asciiTheme="majorBidi" w:hAnsiTheme="majorBidi" w:cstheme="majorBidi"/>
              </w:rPr>
              <w:t>NM_033653.1</w:t>
            </w:r>
          </w:p>
        </w:tc>
      </w:tr>
      <w:tr w:rsidR="00FF28BC" w:rsidRPr="00FF28BC" w:rsidTr="00FF28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F28BC" w:rsidRPr="00FF28BC" w:rsidRDefault="00FF28BC" w:rsidP="009A72D5">
            <w:pPr>
              <w:adjustRightInd w:val="0"/>
              <w:snapToGrid w:val="0"/>
              <w:spacing w:line="480" w:lineRule="auto"/>
              <w:jc w:val="both"/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</w:pPr>
            <w:r w:rsidRPr="00FF28BC"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  <w:t>BDNF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CGTCTTTTCCGAGGTTCGGC</w:t>
            </w:r>
          </w:p>
        </w:tc>
        <w:tc>
          <w:tcPr>
            <w:tcW w:w="4022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GAACCGGAGCTTGCCAAGAG</w:t>
            </w:r>
          </w:p>
        </w:tc>
        <w:tc>
          <w:tcPr>
            <w:tcW w:w="1325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167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Theme="majorBidi" w:hAnsiTheme="majorBidi" w:cstheme="majorBidi"/>
              </w:rPr>
            </w:pPr>
            <w:hyperlink r:id="rId7" w:history="1">
              <w:r w:rsidRPr="00FF28BC">
                <w:rPr>
                  <w:rStyle w:val="Hyperlink"/>
                  <w:rFonts w:asciiTheme="majorBidi" w:hAnsiTheme="majorBidi" w:cstheme="majorBidi"/>
                </w:rPr>
                <w:t>NM_001270632.1</w:t>
              </w:r>
            </w:hyperlink>
          </w:p>
        </w:tc>
      </w:tr>
      <w:tr w:rsidR="00FF28BC" w:rsidRPr="00FF28BC" w:rsidTr="00FF28BC">
        <w:trPr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F28BC" w:rsidRPr="00FF28BC" w:rsidRDefault="00FF28BC" w:rsidP="009A72D5">
            <w:pPr>
              <w:adjustRightInd w:val="0"/>
              <w:snapToGrid w:val="0"/>
              <w:spacing w:line="480" w:lineRule="auto"/>
              <w:jc w:val="both"/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</w:pPr>
            <w:r w:rsidRPr="00FF28BC">
              <w:rPr>
                <w:rFonts w:asciiTheme="majorBidi" w:eastAsia="Calibri" w:hAnsiTheme="majorBidi" w:cstheme="majorBidi"/>
                <w:snapToGrid w:val="0"/>
                <w:color w:val="000000"/>
                <w:lang w:eastAsia="de-DE" w:bidi="en-US"/>
              </w:rPr>
              <w:t>Gapdh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GCATCTTCTTGTGCAGTGCC</w:t>
            </w:r>
          </w:p>
        </w:tc>
        <w:tc>
          <w:tcPr>
            <w:tcW w:w="4022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GGTAACCAGGCGTCCGATAC</w:t>
            </w:r>
          </w:p>
        </w:tc>
        <w:tc>
          <w:tcPr>
            <w:tcW w:w="1325" w:type="dxa"/>
            <w:vAlign w:val="center"/>
          </w:tcPr>
          <w:p w:rsidR="00FF28BC" w:rsidRPr="00FF28BC" w:rsidRDefault="00FF28BC" w:rsidP="00FF28B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FF28BC">
              <w:rPr>
                <w:rFonts w:asciiTheme="majorBidi" w:hAnsiTheme="majorBidi" w:cstheme="majorBidi"/>
                <w:color w:val="000000"/>
              </w:rPr>
              <w:t>91</w:t>
            </w:r>
          </w:p>
        </w:tc>
        <w:tc>
          <w:tcPr>
            <w:tcW w:w="0" w:type="auto"/>
            <w:vAlign w:val="center"/>
          </w:tcPr>
          <w:p w:rsidR="00FF28BC" w:rsidRPr="00FF28BC" w:rsidRDefault="00FF28BC" w:rsidP="00FF28BC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Theme="majorBidi" w:hAnsiTheme="majorBidi" w:cstheme="majorBidi"/>
              </w:rPr>
            </w:pPr>
            <w:hyperlink r:id="rId8" w:history="1">
              <w:r w:rsidRPr="00FF28BC">
                <w:rPr>
                  <w:rStyle w:val="Hyperlink"/>
                  <w:rFonts w:asciiTheme="majorBidi" w:hAnsiTheme="majorBidi" w:cstheme="majorBidi"/>
                </w:rPr>
                <w:t>NM_017008.4</w:t>
              </w:r>
            </w:hyperlink>
          </w:p>
        </w:tc>
      </w:tr>
    </w:tbl>
    <w:p w:rsidR="00FF28BC" w:rsidRPr="00C71EE6" w:rsidRDefault="00FF28BC" w:rsidP="00FF28BC">
      <w:pPr>
        <w:adjustRightInd w:val="0"/>
        <w:snapToGrid w:val="0"/>
        <w:spacing w:after="0" w:line="360" w:lineRule="auto"/>
        <w:jc w:val="both"/>
        <w:rPr>
          <w:rFonts w:ascii="Times New Roman" w:eastAsia="Calibri" w:hAnsi="Times New Roman" w:cs="Times New Roman"/>
          <w:snapToGrid w:val="0"/>
          <w:color w:val="000000"/>
          <w:lang w:eastAsia="de-DE" w:bidi="en-US"/>
        </w:rPr>
        <w:sectPr w:rsidR="00FF28BC" w:rsidRPr="00C71EE6" w:rsidSect="00DE5D21">
          <w:pgSz w:w="16838" w:h="11906" w:orient="landscape" w:code="9"/>
          <w:pgMar w:top="1411" w:right="1440" w:bottom="1411" w:left="1440" w:header="706" w:footer="706" w:gutter="0"/>
          <w:cols w:space="708"/>
          <w:rtlGutter/>
          <w:docGrid w:linePitch="360"/>
        </w:sectPr>
      </w:pPr>
      <w:r w:rsidRPr="00C71EE6">
        <w:rPr>
          <w:rFonts w:ascii="Times New Roman" w:eastAsia="Calibri" w:hAnsi="Times New Roman" w:cs="Times New Roman"/>
          <w:snapToGrid w:val="0"/>
          <w:color w:val="000000"/>
          <w:lang w:eastAsia="de-DE" w:bidi="en-US"/>
        </w:rPr>
        <w:t>Gabarap, GABA type A receptor-associated protein; Maoa, monoamine oxidase A; BDNF, brain-derived neurotrophic factor;; ARC, activity-regulated cytoskeleton associated protein; Gapdh, glycerald</w:t>
      </w:r>
      <w:r w:rsidR="00DE5D21">
        <w:rPr>
          <w:rFonts w:ascii="Times New Roman" w:eastAsia="Calibri" w:hAnsi="Times New Roman" w:cs="Times New Roman"/>
          <w:snapToGrid w:val="0"/>
          <w:color w:val="000000"/>
          <w:lang w:eastAsia="de-DE" w:bidi="en-US"/>
        </w:rPr>
        <w:t>ehyde-3-phosphate dehydrogenase</w:t>
      </w:r>
    </w:p>
    <w:p w:rsidR="00DE5D21" w:rsidRPr="00631571" w:rsidRDefault="00DE5D21" w:rsidP="00DE5D21">
      <w:pPr>
        <w:spacing w:after="0"/>
        <w:jc w:val="both"/>
        <w:rPr>
          <w:rFonts w:asciiTheme="majorBidi" w:hAnsiTheme="majorBidi" w:cstheme="majorBidi"/>
          <w:b/>
          <w:bCs/>
          <w:lang w:bidi="ar-EG"/>
        </w:rPr>
      </w:pPr>
      <w:r w:rsidRPr="00631571">
        <w:rPr>
          <w:rFonts w:asciiTheme="majorBidi" w:hAnsiTheme="majorBidi" w:cstheme="majorBidi"/>
          <w:b/>
          <w:bCs/>
        </w:rPr>
        <w:lastRenderedPageBreak/>
        <w:t xml:space="preserve">Table 2. </w:t>
      </w:r>
      <w:r w:rsidRPr="00631571">
        <w:rPr>
          <w:rFonts w:asciiTheme="majorBidi" w:hAnsiTheme="majorBidi" w:cstheme="majorBidi"/>
        </w:rPr>
        <w:t>List of phyto-chemical composition of ARM-ethanolic extract used in the current study and identified by GC-MS analysis.</w:t>
      </w:r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697"/>
        <w:gridCol w:w="86"/>
        <w:gridCol w:w="150"/>
        <w:gridCol w:w="86"/>
        <w:gridCol w:w="1051"/>
        <w:gridCol w:w="7657"/>
        <w:gridCol w:w="1810"/>
        <w:gridCol w:w="1296"/>
        <w:gridCol w:w="1125"/>
      </w:tblGrid>
      <w:tr w:rsidR="00DE5D21" w:rsidRPr="00C67A7F" w:rsidTr="009A72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Peak No. 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051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RT</w:t>
            </w:r>
          </w:p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(min)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Compound name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Molecular Formula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Area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Peak Area %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051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7.122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Cyclobarbital</w:t>
            </w:r>
            <w:proofErr w:type="spellEnd"/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C12H16N2O3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224643.67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5.17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3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051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9.559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Diphenyl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)phosphine 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C15H19PSi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680056.16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15.66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10.229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1-(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)-3-[(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)oxy]urea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C7H20N2O2Si2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902448.14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20.78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11.264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Bicyclo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[3.3.1]non-6-ene-3-carboxylic acid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C10H14O2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20130.6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0.46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5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14.56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α-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Linolenic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acid, TMS derivative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C21H38O2Si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161024.71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3.71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6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16.775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1,8-Cyclopentadecadiyne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C15H22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17929.72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0.41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7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16.935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2-Methyl-3-buten-2-ol, TMS derivative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C8H18OSi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173802.33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8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17.496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Tricyclo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(5.2.1.0(2,6))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decanedimethanol</w:t>
            </w:r>
            <w:proofErr w:type="spellEnd"/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C12H20O2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6496.36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0.15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9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17.627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4,7,10,13,16,19-Docosahexaenoic acid, methyl ester, (all-Z)-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C23H34O2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20665.98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0.48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10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18.588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Arachidonic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acid TMS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C23H40O2Si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490786.6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11.3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11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19.081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Preg-4-en-3-one, 17α-hydroxy-17β-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cyano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C20H27NO2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31020.02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0.71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12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19.596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Oxacyclotetradeca-4,11-diyne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C13H18O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14503.8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0.33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13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22.251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5,8,11-Eicosatrienoic acid, (Z)-, TMS derivative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C23H42O2Si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32725.61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0.75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14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23.303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D-Fructose, 1,3,4,5,6-pentakis-O-(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)-, O-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methyloxime</w:t>
            </w:r>
            <w:proofErr w:type="spellEnd"/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C22H55NO6Si5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268348.65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6.18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15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23.418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L-(-)-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Sorbose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, 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pentakis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) ether, 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methyloxime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syn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C22H55NO6Si5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250409.58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5.77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16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23.549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d-Glucose, 2,3,4,5,6-pentakis-O-(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)-, o-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methyloxyme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, (1E)-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C22H55NO6Si5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208470.53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4.8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17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23.698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d-Mannose, 2,3,4,5,6-pentakis-O-(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)-, o-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methyloxyme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, (1Z)-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C22H55NO6Si5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33133.64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0.76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18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23.91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Ribitol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, 5TMS derivative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C20H52O5Si5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42682.29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0.98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19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24.053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Myo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-Inositol, 6TMS derivative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C24H60O6Si6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339262.52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7.81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20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24.562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Oxacyclotetradeca-4,11-diyne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C13H18O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10476.3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0.24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21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24.763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5,8,11,14-Eicosatetraenoic acid, methyl ester, (all-Z)-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C21H34O2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29883.23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0.69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22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25.552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Z,Z,Z-4,6,9-Nonadecatriene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C19H34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25870.57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0.6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23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28.482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9,12,15-Octadecatrienoic acid, 2-[(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)oxy]-1-[[(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)oxy]methyl]ethyl ester, (Z,Z,Z)-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C27H52O4Si2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36501.34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0.84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24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28.974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Cholest-5-en-3-ol (3β)-, 9-octadecenoate, (Z)-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C45H78O2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18809.21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0.43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25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29.924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Sucrose, 8TMS derivative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C36H86O11Si8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159473.43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3.67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26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31.017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cis-4,7,10,13,16,19-Docosahexaenoic acid, 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ester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C25H40O2Si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69439.63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1.6</w:t>
            </w:r>
          </w:p>
        </w:tc>
      </w:tr>
      <w:tr w:rsidR="00DE5D21" w:rsidRPr="00C67A7F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27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32.31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Benzenepropanoic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acid, 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tert-butyldimethylsilyl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ester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C15H24O2Si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32908.2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0.76</w:t>
            </w:r>
          </w:p>
        </w:tc>
      </w:tr>
      <w:tr w:rsidR="00DE5D21" w:rsidRPr="00C67A7F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dxa"/>
          </w:tcPr>
          <w:p w:rsidR="00DE5D21" w:rsidRPr="00C67A7F" w:rsidRDefault="00DE5D21" w:rsidP="009A72D5">
            <w:pPr>
              <w:spacing w:line="264" w:lineRule="auto"/>
              <w:jc w:val="both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28</w:t>
            </w:r>
          </w:p>
        </w:tc>
        <w:tc>
          <w:tcPr>
            <w:tcW w:w="236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</w:p>
        </w:tc>
        <w:tc>
          <w:tcPr>
            <w:tcW w:w="1137" w:type="dxa"/>
            <w:gridSpan w:val="2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34.965</w:t>
            </w:r>
          </w:p>
        </w:tc>
        <w:tc>
          <w:tcPr>
            <w:tcW w:w="7657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Arsenous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 xml:space="preserve"> acid, 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tris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(</w:t>
            </w:r>
            <w:proofErr w:type="spellStart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trimethylsilyl</w:t>
            </w:r>
            <w:proofErr w:type="spellEnd"/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) ester</w:t>
            </w:r>
          </w:p>
        </w:tc>
        <w:tc>
          <w:tcPr>
            <w:tcW w:w="1810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C9H27AsO3Si3</w:t>
            </w:r>
          </w:p>
        </w:tc>
        <w:tc>
          <w:tcPr>
            <w:tcW w:w="1296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41253.01</w:t>
            </w:r>
          </w:p>
        </w:tc>
        <w:tc>
          <w:tcPr>
            <w:tcW w:w="1125" w:type="dxa"/>
          </w:tcPr>
          <w:p w:rsidR="00DE5D21" w:rsidRPr="00C67A7F" w:rsidRDefault="00DE5D21" w:rsidP="009A72D5">
            <w:pPr>
              <w:spacing w:line="26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</w:pPr>
            <w:r w:rsidRPr="00C67A7F">
              <w:rPr>
                <w:rFonts w:asciiTheme="majorBidi" w:eastAsia="Calibri" w:hAnsiTheme="majorBidi" w:cstheme="majorBidi"/>
                <w:sz w:val="21"/>
                <w:szCs w:val="21"/>
                <w:lang w:val="en-GB"/>
              </w:rPr>
              <w:t>0.95</w:t>
            </w:r>
          </w:p>
        </w:tc>
      </w:tr>
    </w:tbl>
    <w:p w:rsidR="00DE5D21" w:rsidRDefault="00DE5D21" w:rsidP="00DE5D21">
      <w:pPr>
        <w:spacing w:after="0" w:line="360" w:lineRule="auto"/>
        <w:jc w:val="both"/>
        <w:rPr>
          <w:rFonts w:ascii="Times New Roman" w:eastAsia="Calibri" w:hAnsi="Times New Roman" w:cs="Times New Roman"/>
          <w:lang w:bidi="en-US"/>
        </w:rPr>
        <w:sectPr w:rsidR="00DE5D21" w:rsidSect="009A72D5">
          <w:pgSz w:w="16838" w:h="11906" w:orient="landscape"/>
          <w:pgMar w:top="1411" w:right="1440" w:bottom="1411" w:left="1440" w:header="706" w:footer="706" w:gutter="0"/>
          <w:lnNumType w:countBy="1" w:start="316" w:restart="continuous"/>
          <w:cols w:space="708"/>
          <w:rtlGutter/>
          <w:docGrid w:linePitch="360"/>
        </w:sectPr>
      </w:pPr>
    </w:p>
    <w:p w:rsidR="00DE5D21" w:rsidRPr="00DE5D21" w:rsidRDefault="00DE5D21" w:rsidP="00DE5D21">
      <w:pPr>
        <w:spacing w:after="0" w:line="276" w:lineRule="auto"/>
        <w:ind w:left="900" w:hanging="900"/>
        <w:jc w:val="both"/>
        <w:rPr>
          <w:rFonts w:ascii="Times New Roman" w:eastAsia="Calibri" w:hAnsi="Times New Roman" w:cs="Times New Roman"/>
          <w:lang w:bidi="ar-EG"/>
        </w:rPr>
      </w:pPr>
      <w:r w:rsidRPr="00DE5D21">
        <w:rPr>
          <w:rFonts w:ascii="Times New Roman" w:eastAsia="Calibri" w:hAnsi="Times New Roman" w:cs="Times New Roman"/>
          <w:b/>
          <w:bCs/>
        </w:rPr>
        <w:lastRenderedPageBreak/>
        <w:t xml:space="preserve">Table 3. </w:t>
      </w:r>
      <w:r w:rsidRPr="00DE5D21">
        <w:rPr>
          <w:rFonts w:ascii="Times New Roman" w:eastAsia="Calibri" w:hAnsi="Times New Roman" w:cs="Times New Roman"/>
        </w:rPr>
        <w:t>List of phenolic compounds of ARM-ethanolic extract used in the current study and identified by HPLC analysis.</w:t>
      </w:r>
    </w:p>
    <w:tbl>
      <w:tblPr>
        <w:tblStyle w:val="PlainTable22"/>
        <w:tblW w:w="5000" w:type="pct"/>
        <w:tblLook w:val="04A0" w:firstRow="1" w:lastRow="0" w:firstColumn="1" w:lastColumn="0" w:noHBand="0" w:noVBand="1"/>
      </w:tblPr>
      <w:tblGrid>
        <w:gridCol w:w="1269"/>
        <w:gridCol w:w="2018"/>
        <w:gridCol w:w="1318"/>
        <w:gridCol w:w="1080"/>
        <w:gridCol w:w="1334"/>
        <w:gridCol w:w="1621"/>
      </w:tblGrid>
      <w:tr w:rsidR="00DE5D21" w:rsidRPr="00DE5D21" w:rsidTr="009A72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48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Peak No.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480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Name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276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Retention</w:t>
            </w:r>
          </w:p>
          <w:p w:rsidR="00DE5D21" w:rsidRPr="00DE5D21" w:rsidRDefault="00DE5D21" w:rsidP="00DE5D21">
            <w:pPr>
              <w:bidi/>
              <w:spacing w:line="276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time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480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Area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480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Area %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276" w:lineRule="auto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Concentration</w:t>
            </w:r>
          </w:p>
          <w:p w:rsidR="00DE5D21" w:rsidRPr="00DE5D21" w:rsidRDefault="00DE5D21" w:rsidP="00DE5D21">
            <w:pPr>
              <w:bidi/>
              <w:spacing w:line="276" w:lineRule="auto"/>
              <w:ind w:left="289"/>
              <w:contextualSpacing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Conc.(µg/g)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Gallic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3.366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142.85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3.4065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609.13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proofErr w:type="spellStart"/>
            <w:r w:rsidRPr="00DE5D21">
              <w:rPr>
                <w:rFonts w:ascii="Times New Roman" w:eastAsia="Calibri" w:hAnsi="Times New Roman" w:cs="Times New Roman"/>
              </w:rPr>
              <w:t>Chlorogenic</w:t>
            </w:r>
            <w:proofErr w:type="spellEnd"/>
            <w:r w:rsidRPr="00DE5D21">
              <w:rPr>
                <w:rFonts w:ascii="Times New Roman" w:eastAsia="Calibri" w:hAnsi="Times New Roman" w:cs="Times New Roman"/>
              </w:rPr>
              <w:t xml:space="preserve">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4.218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49.69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1.1849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336.88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Catechin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4.479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59.40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1.4164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732.69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Methyl gallate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5.470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630.34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15.0319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1729.90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Coffeic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6.065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261.12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6.2271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1019.89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Syringic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6.396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407.12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9.7087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1666.40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Pyro catechol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7.026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7.07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0.1687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44.96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Rutin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7.843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81.12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1.9345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469.83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tabs>
                <w:tab w:val="center" w:pos="477"/>
                <w:tab w:val="right" w:pos="954"/>
              </w:tabs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ab/>
            </w:r>
            <w:r w:rsidRPr="00DE5D21">
              <w:rPr>
                <w:rFonts w:ascii="Times New Roman" w:eastAsia="Calibri" w:hAnsi="Times New Roman" w:cs="Times New Roman"/>
              </w:rPr>
              <w:tab/>
              <w:t>9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Ellagic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8.522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318.11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7.5860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3271.68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Coumaric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9.135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0.0000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Vanillin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9.528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1155.28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27.5502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2538.08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Ferulic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10.078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71.93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1.7153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229.25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Naringenin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10.523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275.00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6.5579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1416.59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proofErr w:type="spellStart"/>
            <w:r w:rsidRPr="00DE5D21">
              <w:rPr>
                <w:rFonts w:ascii="Times New Roman" w:eastAsia="Calibri" w:hAnsi="Times New Roman" w:cs="Times New Roman"/>
              </w:rPr>
              <w:t>Daidzein</w:t>
            </w:r>
            <w:proofErr w:type="spellEnd"/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12.100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17.00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0.4054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53.09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Querectin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12.786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15.79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0.3766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101.65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proofErr w:type="spellStart"/>
            <w:r w:rsidRPr="00DE5D21">
              <w:rPr>
                <w:rFonts w:ascii="Times New Roman" w:eastAsia="Calibri" w:hAnsi="Times New Roman" w:cs="Times New Roman"/>
              </w:rPr>
              <w:t>Cinnamic</w:t>
            </w:r>
            <w:proofErr w:type="spellEnd"/>
            <w:r w:rsidRPr="00DE5D21">
              <w:rPr>
                <w:rFonts w:ascii="Times New Roman" w:eastAsia="Calibri" w:hAnsi="Times New Roman" w:cs="Times New Roman"/>
              </w:rPr>
              <w:t xml:space="preserve"> acid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14.041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18.67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0.4453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17.33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Apigenin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14.436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0.0000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</w:t>
            </w:r>
          </w:p>
        </w:tc>
      </w:tr>
      <w:tr w:rsidR="00DE5D21" w:rsidRPr="00DE5D21" w:rsidTr="009A7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proofErr w:type="spellStart"/>
            <w:r w:rsidRPr="00DE5D21">
              <w:rPr>
                <w:rFonts w:ascii="Times New Roman" w:eastAsia="Calibri" w:hAnsi="Times New Roman" w:cs="Times New Roman"/>
              </w:rPr>
              <w:t>Kaempferol</w:t>
            </w:r>
            <w:proofErr w:type="spellEnd"/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14.932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0.0000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0.00</w:t>
            </w:r>
          </w:p>
        </w:tc>
      </w:tr>
      <w:tr w:rsidR="00DE5D21" w:rsidRPr="00DE5D21" w:rsidTr="009A72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116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Hesperetin</w:t>
            </w:r>
          </w:p>
        </w:tc>
        <w:tc>
          <w:tcPr>
            <w:tcW w:w="763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15.453</w:t>
            </w:r>
          </w:p>
        </w:tc>
        <w:tc>
          <w:tcPr>
            <w:tcW w:w="625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682.88</w:t>
            </w:r>
          </w:p>
        </w:tc>
        <w:tc>
          <w:tcPr>
            <w:tcW w:w="772" w:type="pct"/>
          </w:tcPr>
          <w:p w:rsidR="00DE5D21" w:rsidRPr="00DE5D21" w:rsidRDefault="00DE5D21" w:rsidP="00DE5D21">
            <w:pPr>
              <w:bidi/>
              <w:spacing w:line="36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16.2847</w:t>
            </w:r>
          </w:p>
        </w:tc>
        <w:tc>
          <w:tcPr>
            <w:tcW w:w="938" w:type="pct"/>
          </w:tcPr>
          <w:p w:rsidR="00DE5D21" w:rsidRPr="00DE5D21" w:rsidRDefault="00DE5D21" w:rsidP="00DE5D21">
            <w:pPr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</w:rPr>
            </w:pPr>
            <w:r w:rsidRPr="00DE5D21">
              <w:rPr>
                <w:rFonts w:ascii="Times New Roman" w:eastAsia="Calibri" w:hAnsi="Times New Roman" w:cs="Times New Roman"/>
              </w:rPr>
              <w:t>1940.58</w:t>
            </w:r>
          </w:p>
        </w:tc>
      </w:tr>
    </w:tbl>
    <w:p w:rsidR="00DE5D21" w:rsidRPr="00DE5D21" w:rsidRDefault="00DE5D21" w:rsidP="00DE5D21">
      <w:pPr>
        <w:spacing w:after="0" w:line="480" w:lineRule="auto"/>
        <w:ind w:firstLine="720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ar-EG"/>
        </w:rPr>
      </w:pPr>
    </w:p>
    <w:p w:rsidR="000767A0" w:rsidRDefault="000767A0" w:rsidP="00DE5D21"/>
    <w:p w:rsidR="00DE5D21" w:rsidRDefault="00DE5D21" w:rsidP="00DE5D21"/>
    <w:p w:rsidR="00DE5D21" w:rsidRDefault="00DE5D21" w:rsidP="00DE5D21"/>
    <w:p w:rsidR="00DE5D21" w:rsidRDefault="00DE5D21" w:rsidP="00DE5D21"/>
    <w:p w:rsidR="00DE5D21" w:rsidRDefault="00DE5D21" w:rsidP="00DE5D21"/>
    <w:p w:rsidR="00DE5D21" w:rsidRDefault="00DE5D21" w:rsidP="00DE5D21"/>
    <w:p w:rsidR="00DE5D21" w:rsidRDefault="00DE5D21" w:rsidP="00DE5D21"/>
    <w:p w:rsidR="00DE5D21" w:rsidRDefault="00DE5D21" w:rsidP="00DE5D21"/>
    <w:p w:rsidR="00DE5D21" w:rsidRDefault="00DE5D21" w:rsidP="00DE5D21">
      <w:pPr>
        <w:sectPr w:rsidR="00DE5D21" w:rsidSect="00DE5D21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B15176" w:rsidRPr="00B15176" w:rsidRDefault="00B15176" w:rsidP="00B15176">
      <w:pPr>
        <w:suppressLineNumbers/>
        <w:spacing w:after="0" w:line="360" w:lineRule="auto"/>
        <w:ind w:left="851" w:hanging="85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15176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Table 4. </w:t>
      </w:r>
      <w:r w:rsidRPr="00B15176">
        <w:rPr>
          <w:rFonts w:ascii="Times New Roman" w:eastAsia="Calibri" w:hAnsi="Times New Roman" w:cs="Times New Roman"/>
          <w:sz w:val="24"/>
          <w:szCs w:val="24"/>
        </w:rPr>
        <w:t xml:space="preserve">Effect of </w:t>
      </w:r>
      <w:r w:rsidRPr="00B15176">
        <w:rPr>
          <w:rFonts w:ascii="Times New Roman" w:eastAsia="Calibri" w:hAnsi="Times New Roman" w:cs="Times New Roman"/>
          <w:i/>
          <w:iCs/>
          <w:sz w:val="24"/>
          <w:szCs w:val="24"/>
        </w:rPr>
        <w:t>A. monosperma Del.</w:t>
      </w:r>
      <w:r w:rsidRPr="00B15176">
        <w:rPr>
          <w:rFonts w:ascii="Times New Roman" w:eastAsia="Calibri" w:hAnsi="Times New Roman" w:cs="Times New Roman"/>
          <w:sz w:val="24"/>
          <w:szCs w:val="24"/>
        </w:rPr>
        <w:t xml:space="preserve"> Ethanolic extract administration on the behavioral observations in adult male rat</w:t>
      </w:r>
    </w:p>
    <w:tbl>
      <w:tblPr>
        <w:tblStyle w:val="TableGrid2"/>
        <w:tblW w:w="0" w:type="auto"/>
        <w:jc w:val="center"/>
        <w:tblBorders>
          <w:left w:val="none" w:sz="0" w:space="0" w:color="auto"/>
          <w:right w:val="none" w:sz="0" w:space="0" w:color="auto"/>
          <w:insideH w:val="single" w:sz="4" w:space="0" w:color="7F7F7F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"/>
        <w:gridCol w:w="1426"/>
        <w:gridCol w:w="1118"/>
        <w:gridCol w:w="1119"/>
        <w:gridCol w:w="1119"/>
        <w:gridCol w:w="1119"/>
        <w:gridCol w:w="1172"/>
        <w:gridCol w:w="1244"/>
        <w:gridCol w:w="1119"/>
        <w:gridCol w:w="1098"/>
        <w:gridCol w:w="1160"/>
      </w:tblGrid>
      <w:tr w:rsidR="00B15176" w:rsidRPr="00B15176" w:rsidTr="00B15176">
        <w:trPr>
          <w:jc w:val="center"/>
        </w:trPr>
        <w:tc>
          <w:tcPr>
            <w:tcW w:w="1933" w:type="dxa"/>
            <w:gridSpan w:val="2"/>
            <w:vMerge w:val="restart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Behavioral test</w:t>
            </w:r>
          </w:p>
        </w:tc>
        <w:tc>
          <w:tcPr>
            <w:tcW w:w="1118" w:type="dxa"/>
            <w:vMerge w:val="restart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Negative geotaxis</w:t>
            </w:r>
          </w:p>
        </w:tc>
        <w:tc>
          <w:tcPr>
            <w:tcW w:w="1119" w:type="dxa"/>
            <w:vMerge w:val="restart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Rota rod</w:t>
            </w:r>
          </w:p>
        </w:tc>
        <w:tc>
          <w:tcPr>
            <w:tcW w:w="1119" w:type="dxa"/>
            <w:vMerge w:val="restart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Wrip grip Wiring</w:t>
            </w:r>
          </w:p>
        </w:tc>
        <w:tc>
          <w:tcPr>
            <w:tcW w:w="1119" w:type="dxa"/>
            <w:vMerge w:val="restart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Hole cross</w:t>
            </w:r>
          </w:p>
        </w:tc>
        <w:tc>
          <w:tcPr>
            <w:tcW w:w="5793" w:type="dxa"/>
            <w:gridSpan w:val="5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Open field test</w:t>
            </w:r>
          </w:p>
        </w:tc>
      </w:tr>
      <w:tr w:rsidR="00B15176" w:rsidRPr="00B15176" w:rsidTr="00B15176">
        <w:trPr>
          <w:jc w:val="center"/>
        </w:trPr>
        <w:tc>
          <w:tcPr>
            <w:tcW w:w="1933" w:type="dxa"/>
            <w:gridSpan w:val="2"/>
            <w:vMerge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8" w:type="dxa"/>
            <w:vMerge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9" w:type="dxa"/>
            <w:vMerge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rtl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Immobility Time 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Crossing 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number 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Rearing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number 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Grooming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number 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Defecation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number 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 w:val="restart"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Groups </w:t>
            </w: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st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7.79±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14.32±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0.81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43.25±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3.04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3.92±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0.42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2.14±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17.67±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2.07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7.67±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0.81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0.60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0.095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nd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DIZ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43.66±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3.95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3.74±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8.35±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0.95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0.58±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24.59±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2.77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4.75±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0.095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rd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ART-H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20.25±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1.88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>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8.07±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26.62±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2.20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15.87±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7.50±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1.38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0.095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th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ART-L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11.89±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8.27±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28.68±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2.35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1.75±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8.15±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9.58±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1.44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1.42±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**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0.095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tabs>
                <w:tab w:val="left" w:pos="837"/>
              </w:tabs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&lt;0.001***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&lt;0.15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>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&lt;0.56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>ns</w:t>
            </w:r>
          </w:p>
        </w:tc>
      </w:tr>
      <w:tr w:rsidR="00B15176" w:rsidRPr="00B15176" w:rsidTr="00B15176">
        <w:trPr>
          <w:trHeight w:val="494"/>
          <w:jc w:val="center"/>
        </w:trPr>
        <w:tc>
          <w:tcPr>
            <w:tcW w:w="507" w:type="dxa"/>
            <w:vMerge w:val="restart"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start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24.72±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3.84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9.07±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0.89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28.27±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2.51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2.13±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10.13±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1.36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11.63±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1.62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3.29±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0.71±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End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17.07±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 xml:space="preserve">2.40 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8.13±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1.08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25.18±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3.43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15.25±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2.45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8.13±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2.54±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ns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P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&lt;0.001***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&lt;0.503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&lt;0.472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&lt;0.001***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&lt;0.017*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&lt;0.45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&lt;0.65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&lt;0.16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 w:val="restart"/>
            <w:textDirection w:val="btLr"/>
          </w:tcPr>
          <w:p w:rsidR="00B15176" w:rsidRPr="00B15176" w:rsidRDefault="00B15176" w:rsidP="00B15176">
            <w:pPr>
              <w:bidi/>
              <w:ind w:left="113" w:right="113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Group*Time</w:t>
            </w: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Control*Start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9.50±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13.65±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0.095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cd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37.71±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3.40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de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2.66±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21.50±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0.83±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0.83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Control*End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6.07±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15.00±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1.35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d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48.80±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4.09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e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4.83±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1.63±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13.83±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1.62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0.92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DIZ*Start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52.84±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5.49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f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4.77±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10.47±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1.29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17.47±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2.41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e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1.29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>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DIZ*End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34.49±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2.18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e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2.71±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6.22±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31.70±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2.76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f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0.00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ART-H*Start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23.24±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2.20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d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8.73±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1.52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29.76±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3.01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cd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13.86±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e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1.71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ART-H*End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17.26±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2.67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7.82±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1.56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23.47±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2.89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17.88±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1.90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e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2.29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0.79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ART-L*Start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13.31±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2.11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9.16±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1.82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cd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35.13±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1.48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d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0.65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6.52±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10.67±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2.23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1.67±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0.71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1.00±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  <w:tr w:rsidR="00B15176" w:rsidRPr="00B15176" w:rsidTr="00B15176">
        <w:trPr>
          <w:jc w:val="center"/>
        </w:trPr>
        <w:tc>
          <w:tcPr>
            <w:tcW w:w="507" w:type="dxa"/>
            <w:vMerge/>
          </w:tcPr>
          <w:p w:rsidR="00B15176" w:rsidRPr="00B15176" w:rsidRDefault="00B15176" w:rsidP="00B15176">
            <w:pPr>
              <w:bidi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6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</w:rPr>
              <w:t>ART-L*End</w:t>
            </w:r>
          </w:p>
        </w:tc>
        <w:tc>
          <w:tcPr>
            <w:tcW w:w="111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10.46±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0.56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6.99±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1.21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bc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22.24±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2.33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c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1.33±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0.42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72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9.79±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0.55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d</w:t>
            </w:r>
          </w:p>
        </w:tc>
        <w:tc>
          <w:tcPr>
            <w:tcW w:w="1244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8.50±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1.91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ab</w:t>
            </w:r>
          </w:p>
        </w:tc>
        <w:tc>
          <w:tcPr>
            <w:tcW w:w="1119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1.17±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0.40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098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0.50±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0.34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  <w:tc>
          <w:tcPr>
            <w:tcW w:w="1160" w:type="dxa"/>
          </w:tcPr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0.17±</w:t>
            </w:r>
          </w:p>
          <w:p w:rsidR="00B15176" w:rsidRPr="00B15176" w:rsidRDefault="00B15176" w:rsidP="00B15176">
            <w:pPr>
              <w:bidi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15176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0.17</w:t>
            </w:r>
            <w:r w:rsidRPr="00B15176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bidi="ar-EG"/>
              </w:rPr>
              <w:t xml:space="preserve"> a</w:t>
            </w:r>
          </w:p>
        </w:tc>
      </w:tr>
    </w:tbl>
    <w:p w:rsidR="00B15176" w:rsidRPr="00B15176" w:rsidRDefault="00B15176" w:rsidP="00B15176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lang w:bidi="en-US"/>
        </w:rPr>
        <w:sectPr w:rsidR="00B15176" w:rsidRPr="00B15176" w:rsidSect="008B7189">
          <w:pgSz w:w="15842" w:h="12242" w:orient="landscape" w:code="1"/>
          <w:pgMar w:top="1412" w:right="1440" w:bottom="1412" w:left="1440" w:header="709" w:footer="709" w:gutter="0"/>
          <w:cols w:space="708"/>
          <w:rtlGutter/>
          <w:docGrid w:linePitch="360"/>
        </w:sectPr>
      </w:pPr>
      <w:r w:rsidRPr="00B15176">
        <w:rPr>
          <w:rFonts w:ascii="Times New Roman" w:eastAsia="Calibri" w:hAnsi="Times New Roman" w:cs="Times New Roman"/>
        </w:rPr>
        <w:t xml:space="preserve">Values are mean ± SEM of 6 animals per experimental group. </w:t>
      </w:r>
      <w:r w:rsidRPr="00B15176">
        <w:rPr>
          <w:rFonts w:ascii="Times New Roman" w:eastAsia="Calibri" w:hAnsi="Times New Roman" w:cs="Times New Roman"/>
          <w:i/>
          <w:iCs/>
          <w:lang w:bidi="en-US"/>
        </w:rPr>
        <w:t>Two-Way Analysis of Variance (ANOVA) followed by Dunnett’s test. *</w:t>
      </w:r>
      <w:r w:rsidRPr="00B15176">
        <w:rPr>
          <w:rFonts w:ascii="Calibri" w:eastAsia="Calibri" w:hAnsi="Calibri" w:cs="Arial"/>
        </w:rPr>
        <w:t xml:space="preserve"> </w:t>
      </w:r>
      <w:r w:rsidRPr="00B15176">
        <w:rPr>
          <w:rFonts w:ascii="Times New Roman" w:eastAsia="Calibri" w:hAnsi="Times New Roman" w:cs="Times New Roman"/>
          <w:i/>
          <w:iCs/>
          <w:lang w:bidi="en-US"/>
        </w:rPr>
        <w:t>P</w:t>
      </w:r>
      <w:r w:rsidRPr="00B15176">
        <w:rPr>
          <w:rFonts w:ascii="Times New Roman" w:eastAsia="Calibri" w:hAnsi="Times New Roman" w:cs="Times New Roman"/>
          <w:i/>
          <w:iCs/>
        </w:rPr>
        <w:t xml:space="preserve"> ≤0.05 significant, </w:t>
      </w:r>
      <w:r w:rsidRPr="00B15176">
        <w:rPr>
          <w:rFonts w:ascii="Times New Roman" w:eastAsia="Calibri" w:hAnsi="Times New Roman" w:cs="Times New Roman"/>
          <w:i/>
          <w:iCs/>
          <w:lang w:bidi="en-US"/>
        </w:rPr>
        <w:t>**</w:t>
      </w:r>
      <w:r w:rsidRPr="00B15176">
        <w:rPr>
          <w:rFonts w:ascii="Times New Roman" w:eastAsia="Calibri" w:hAnsi="Times New Roman" w:cs="Times New Roman"/>
          <w:i/>
          <w:iCs/>
        </w:rPr>
        <w:t xml:space="preserve"> </w:t>
      </w:r>
      <w:r w:rsidRPr="00B15176">
        <w:rPr>
          <w:rFonts w:ascii="Times New Roman" w:eastAsia="Calibri" w:hAnsi="Times New Roman" w:cs="Times New Roman"/>
          <w:i/>
          <w:iCs/>
          <w:lang w:bidi="en-US"/>
        </w:rPr>
        <w:t>P</w:t>
      </w:r>
      <w:r w:rsidRPr="00B15176">
        <w:rPr>
          <w:rFonts w:ascii="Times New Roman" w:eastAsia="Calibri" w:hAnsi="Times New Roman" w:cs="Times New Roman"/>
          <w:i/>
          <w:iCs/>
        </w:rPr>
        <w:t xml:space="preserve"> ≤0.01 highly significant, ***</w:t>
      </w:r>
      <w:r w:rsidRPr="00B15176">
        <w:rPr>
          <w:rFonts w:ascii="Calibri" w:eastAsia="Calibri" w:hAnsi="Calibri" w:cs="Arial"/>
        </w:rPr>
        <w:t xml:space="preserve"> </w:t>
      </w:r>
      <w:r w:rsidRPr="00B15176">
        <w:rPr>
          <w:rFonts w:ascii="Times New Roman" w:eastAsia="Calibri" w:hAnsi="Times New Roman" w:cs="Times New Roman"/>
          <w:i/>
          <w:iCs/>
          <w:lang w:bidi="en-US"/>
        </w:rPr>
        <w:t>P</w:t>
      </w:r>
      <w:r w:rsidRPr="00B15176">
        <w:rPr>
          <w:rFonts w:ascii="Times New Roman" w:eastAsia="Calibri" w:hAnsi="Times New Roman" w:cs="Times New Roman"/>
          <w:i/>
          <w:iCs/>
        </w:rPr>
        <w:t xml:space="preserve"> ≤0.001 very highly significant compared to the control group.</w:t>
      </w:r>
      <w:r w:rsidRPr="00B15176">
        <w:rPr>
          <w:rFonts w:ascii="Times New Roman" w:eastAsia="Calibri" w:hAnsi="Times New Roman" w:cs="Times New Roman"/>
          <w:i/>
          <w:iCs/>
          <w:lang w:bidi="en-US"/>
        </w:rPr>
        <w:t xml:space="preserve"> </w:t>
      </w:r>
      <w:r w:rsidRPr="00B15176">
        <w:rPr>
          <w:rFonts w:ascii="Times New Roman" w:eastAsia="Calibri" w:hAnsi="Times New Roman" w:cs="Times New Roman"/>
        </w:rPr>
        <w:t>There was no significant difference between means have the same alphabetical superscripts letter in the same row (*</w:t>
      </w:r>
      <w:r w:rsidRPr="00B15176">
        <w:rPr>
          <w:rFonts w:ascii="Times New Roman" w:eastAsia="Calibri" w:hAnsi="Times New Roman" w:cs="Times New Roman"/>
          <w:i/>
          <w:iCs/>
        </w:rPr>
        <w:t>P≤0.05</w:t>
      </w:r>
      <w:r>
        <w:rPr>
          <w:rFonts w:ascii="Times New Roman" w:eastAsia="Calibri" w:hAnsi="Times New Roman" w:cs="Times New Roman"/>
        </w:rPr>
        <w:t>)</w:t>
      </w:r>
    </w:p>
    <w:p w:rsidR="009A72D5" w:rsidRPr="00B15176" w:rsidRDefault="009A72D5" w:rsidP="00B15176">
      <w:pPr>
        <w:tabs>
          <w:tab w:val="left" w:pos="2233"/>
        </w:tabs>
      </w:pPr>
      <w:bookmarkStart w:id="0" w:name="_GoBack"/>
      <w:bookmarkEnd w:id="0"/>
    </w:p>
    <w:sectPr w:rsidR="009A72D5" w:rsidRPr="00B15176" w:rsidSect="00DE5D21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EDE" w:rsidRDefault="00064EDE" w:rsidP="00DE5D21">
      <w:pPr>
        <w:spacing w:after="0" w:line="240" w:lineRule="auto"/>
      </w:pPr>
      <w:r>
        <w:separator/>
      </w:r>
    </w:p>
  </w:endnote>
  <w:endnote w:type="continuationSeparator" w:id="0">
    <w:p w:rsidR="00064EDE" w:rsidRDefault="00064EDE" w:rsidP="00DE5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EDE" w:rsidRDefault="00064EDE" w:rsidP="00DE5D21">
      <w:pPr>
        <w:spacing w:after="0" w:line="240" w:lineRule="auto"/>
      </w:pPr>
      <w:r>
        <w:separator/>
      </w:r>
    </w:p>
  </w:footnote>
  <w:footnote w:type="continuationSeparator" w:id="0">
    <w:p w:rsidR="00064EDE" w:rsidRDefault="00064EDE" w:rsidP="00DE5D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7F9"/>
    <w:rsid w:val="00064EDE"/>
    <w:rsid w:val="000767A0"/>
    <w:rsid w:val="007707F9"/>
    <w:rsid w:val="009A72D5"/>
    <w:rsid w:val="00B15176"/>
    <w:rsid w:val="00DE5D21"/>
    <w:rsid w:val="00FF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5434A-ED0F-469C-BECD-A65454995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28BC"/>
    <w:rPr>
      <w:color w:val="0563C1" w:themeColor="hyperlink"/>
      <w:u w:val="single"/>
    </w:rPr>
  </w:style>
  <w:style w:type="table" w:customStyle="1" w:styleId="PlainTable21">
    <w:name w:val="Plain Table 21"/>
    <w:basedOn w:val="TableNormal"/>
    <w:next w:val="PlainTable2"/>
    <w:uiPriority w:val="42"/>
    <w:rsid w:val="00FF28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FF28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F28BC"/>
  </w:style>
  <w:style w:type="paragraph" w:styleId="Header">
    <w:name w:val="header"/>
    <w:basedOn w:val="Normal"/>
    <w:link w:val="HeaderChar"/>
    <w:uiPriority w:val="99"/>
    <w:unhideWhenUsed/>
    <w:rsid w:val="00DE5D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D21"/>
  </w:style>
  <w:style w:type="paragraph" w:styleId="Footer">
    <w:name w:val="footer"/>
    <w:basedOn w:val="Normal"/>
    <w:link w:val="FooterChar"/>
    <w:uiPriority w:val="99"/>
    <w:unhideWhenUsed/>
    <w:rsid w:val="00DE5D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D21"/>
  </w:style>
  <w:style w:type="table" w:customStyle="1" w:styleId="PlainTable22">
    <w:name w:val="Plain Table 22"/>
    <w:basedOn w:val="TableNormal"/>
    <w:next w:val="PlainTable2"/>
    <w:uiPriority w:val="42"/>
    <w:rsid w:val="00DE5D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leGrid">
    <w:name w:val="Table Grid"/>
    <w:basedOn w:val="TableNormal"/>
    <w:uiPriority w:val="39"/>
    <w:rsid w:val="00DE5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DE5D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5D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D21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B15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viewer.fcgi?db=nucleotide&amp;id=40269172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entrez/viewer.fcgi?db=nucleotide&amp;id=39717476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entrez/viewer.fcgi?db=nucleotide&amp;id=2008351485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1068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cp:lastPrinted>2024-10-26T12:43:00Z</cp:lastPrinted>
  <dcterms:created xsi:type="dcterms:W3CDTF">2024-10-26T12:30:00Z</dcterms:created>
  <dcterms:modified xsi:type="dcterms:W3CDTF">2024-10-26T12:58:00Z</dcterms:modified>
</cp:coreProperties>
</file>