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31344C6" w14:textId="77777777" w:rsidR="00DC6C27" w:rsidRPr="00E42854" w:rsidRDefault="00DC6C27" w:rsidP="00DC6C27">
      <w:pPr>
        <w:pStyle w:val="Heading1"/>
      </w:pPr>
      <w:r w:rsidRPr="00E42854">
        <w:t>Supplementary materials</w:t>
      </w:r>
    </w:p>
    <w:p w14:paraId="65421AE5" w14:textId="77777777" w:rsidR="00DC6C27" w:rsidRPr="00E42854" w:rsidRDefault="00DC6C27" w:rsidP="00DC6C27">
      <w:pPr>
        <w:pStyle w:val="Heading2"/>
      </w:pPr>
      <w:r w:rsidRPr="00E42854">
        <w:t>Model predictive power</w:t>
      </w:r>
    </w:p>
    <w:p w14:paraId="340EC186" w14:textId="77777777" w:rsidR="00DC6C27" w:rsidRPr="00E42854" w:rsidRDefault="00DC6C27" w:rsidP="00DC6C27">
      <w:pPr>
        <w:jc w:val="both"/>
      </w:pPr>
      <w:r w:rsidRPr="00E42854">
        <w:t xml:space="preserve">The predictive relevance (Q²) of construct items was calculated to evaluate the model's predictive power </w:t>
      </w:r>
      <w:r w:rsidRPr="00E42854">
        <w:fldChar w:fldCharType="begin"/>
      </w:r>
      <w:r w:rsidRPr="00E42854">
        <w:instrText xml:space="preserve"> ADDIN ZOTERO_ITEM CSL_CITATION {"citationID":"jVrGyGSk","properties":{"formattedCitation":"(J. Hair et al., 2019)","plainCitation":"(J. Hair et al., 2019)","noteIndex":0},"citationItems":[{"id":2760,"uris":["http://zotero.org/users/7944408/items/XHVBBUTA"],"itemData":{"id":2760,"type":"article-journal","abstract":"Purpose\nThe purpose of this paper is to provide a comprehensive, yet concise, overview of the considerations and metrics required for partial least squares structural equation modeling (PLS-SEM) analysis and result reporting. Preliminary considerations are summarized first, including reasons for choosing PLS-SEM, recommended sample size in selected contexts, distributional assumptions, use of secondary data, statistical power and the need for goodness-of-fit testing. Next, the metrics as well as the rules of thumb that should be applied to assess the PLS-SEM results are covered. Besides presenting established PLS-SEM evaluation criteria, the overview includes the following new guidelines: PLSpredict (i.e., a novel approach for assessing a model’s out-of-sample prediction), metrics for model comparisons, and several complementary methods for checking the results’ robustness.\nThis paper provides an overview of previously and recently proposed metrics as well as rules of thumb for evaluating the research results based on the application of PLS-SEM.\nMost of the previously applied metrics for evaluating PLS-SEM results are still relevant. Nevertheless, scholars need to be knowledgeable about recently proposed metrics (e.g. model comparison criteria) and methods (e.g. endogeneity assessment, latent class analysis and PLSpredict), and when and how to apply them to extend their analyses.\nMethodological developments associated with PLS-SEM are rapidly emerging. The metrics reported in this paper are useful for current applications, but must always be up to date with the latest developments in the PLS-SEM method.\nIn light of more recent research and methodological developments in the PLS-SEM domain, guidelines for the method’s use need to be continuously extended and updated. This paper is the most current and comprehensive summary of the PLS-SEM method and the metrics applied to assess its solutions.","container-title":"European Business Review","DOI":"https://doi.org/10.1108/EBR-11-2018-0203","ISSN":"0955534X","issue":"1","language":"English","license":"© Emerald Publishing Limited 2019","page":"2-24","source":"ProQuest","title":"When to use and how to report the results of PLS-SEM","volume":"31","author":[{"family":"Hair","given":"Joseph"},{"family":"Risher","given":"Jeffrey J."},{"family":"Sarstedt","given":"Marko"},{"family":"Ringle","given":"Christian M."}],"issued":{"date-parts":[["2019"]]}}}],"schema":"https://github.com/citation-style-language/schema/raw/master/csl-citation.json"} </w:instrText>
      </w:r>
      <w:r w:rsidRPr="00E42854">
        <w:fldChar w:fldCharType="separate"/>
      </w:r>
      <w:r w:rsidRPr="00E42854">
        <w:rPr>
          <w:rFonts w:ascii="Cambria" w:hAnsi="Cambria"/>
        </w:rPr>
        <w:t>(J. Hair et al., 2019)</w:t>
      </w:r>
      <w:r w:rsidRPr="00E42854">
        <w:fldChar w:fldCharType="end"/>
      </w:r>
      <w:r w:rsidRPr="00E42854">
        <w:t>. Q² values above 0, 0.25, and 0.50 indicate small, medium, and large predictive relevance, respectively. Values below 0 suggest a lack of predictive accuracy. Table 4 shows that Models 1 and 2 have small to medium predictive power for Social cohesion, while Model 3 has lower accuracy. All models lack predictive power for Informal support.</w:t>
      </w:r>
    </w:p>
    <w:p w14:paraId="3522EE99" w14:textId="77777777" w:rsidR="00DC6C27" w:rsidRPr="00E42854" w:rsidRDefault="00DC6C27" w:rsidP="00DC6C27">
      <w:pPr>
        <w:jc w:val="both"/>
      </w:pPr>
      <w:r w:rsidRPr="00E42854">
        <w:t>The final assessment involves calculating prediction errors: the difference between mean absolute error (ΔMAE) and the difference between the root mean squared error (ΔRMSE). If Q² shows predictive power, these metrics compare predictions to a naïve benchmark (linear regression model). Higher RMSE or MAE compared to the benchmark indicates low predictive accuracy (positive ΔRMSE and ΔMAE). Table 4 indicates that Model 1 has higher predicted errors for Social cohesion, suggesting low predictive power, whereas Models 2 and 3 show negative values, indicating higher predictive power.</w:t>
      </w:r>
    </w:p>
    <w:p w14:paraId="182830E9" w14:textId="77777777" w:rsidR="00DC6C27" w:rsidRPr="00E42854" w:rsidRDefault="00DC6C27" w:rsidP="00DC6C27">
      <w:pPr>
        <w:jc w:val="both"/>
      </w:pPr>
      <w:r w:rsidRPr="00E42854">
        <w:t xml:space="preserve">Overall, the selected models showed acceptable explanatory power, but low predictive accuracy. Selected Model 1 had the best overall goodness-of-fit, but Model 3 captured the relationship between Social cohesion and Informal support with better explanatory power. </w:t>
      </w:r>
    </w:p>
    <w:p w14:paraId="58E91F81" w14:textId="77777777" w:rsidR="00DC6C27" w:rsidRPr="00E42854" w:rsidRDefault="00DC6C27" w:rsidP="00DC6C27">
      <w:pPr>
        <w:pStyle w:val="Bibliography"/>
      </w:pPr>
    </w:p>
    <w:p w14:paraId="026A6EEF" w14:textId="77777777" w:rsidR="00DC6C27" w:rsidRPr="004F18C9" w:rsidRDefault="00DC6C27" w:rsidP="00DC6C27">
      <w:pPr>
        <w:pStyle w:val="NoSpacing"/>
        <w:jc w:val="both"/>
        <w:rPr>
          <w:bCs/>
          <w:highlight w:val="red"/>
          <w:lang w:val="en-GB"/>
        </w:rPr>
      </w:pPr>
      <w:r w:rsidRPr="004F18C9">
        <w:rPr>
          <w:b/>
          <w:bCs/>
          <w:lang w:val="en-GB"/>
        </w:rPr>
        <w:t xml:space="preserve">Table 4: </w:t>
      </w:r>
      <w:r w:rsidRPr="004F18C9">
        <w:rPr>
          <w:lang w:val="en-GB"/>
        </w:rPr>
        <w:t>Structural model predictive power.</w:t>
      </w:r>
      <w:r w:rsidRPr="00E42854">
        <w:rPr>
          <w:lang w:val="en-GB"/>
        </w:rPr>
        <w:t xml:space="preserve"> This table summarizes the ΔMAE, ΔRMSE, and Q² metrics for the three structural models. Higher ΔMAE and ΔRMSE values suggest lower predictive accuracy, while Q² values indicate the level of predictive relevance. The </w:t>
      </w:r>
      <w:r w:rsidRPr="004F18C9">
        <w:rPr>
          <w:lang w:val="en-GB"/>
        </w:rPr>
        <w:t>selected models showed acceptable explanatory power, but low predictive accuracy</w:t>
      </w:r>
      <w:r w:rsidRPr="00E42854">
        <w:rPr>
          <w:lang w:val="en-GB"/>
        </w:rPr>
        <w:t>, with some constructs dropped due to multicollinearity or insignificant weights.</w:t>
      </w:r>
    </w:p>
    <w:tbl>
      <w:tblPr>
        <w:tblStyle w:val="TableGrid"/>
        <w:tblW w:w="0" w:type="auto"/>
        <w:tblLook w:val="04A0" w:firstRow="1" w:lastRow="0" w:firstColumn="1" w:lastColumn="0" w:noHBand="0" w:noVBand="1"/>
      </w:tblPr>
      <w:tblGrid>
        <w:gridCol w:w="1155"/>
        <w:gridCol w:w="2999"/>
        <w:gridCol w:w="528"/>
        <w:gridCol w:w="589"/>
        <w:gridCol w:w="519"/>
        <w:gridCol w:w="528"/>
        <w:gridCol w:w="589"/>
        <w:gridCol w:w="519"/>
        <w:gridCol w:w="528"/>
        <w:gridCol w:w="589"/>
        <w:gridCol w:w="519"/>
      </w:tblGrid>
      <w:tr w:rsidR="00DC6C27" w:rsidRPr="00E42854" w14:paraId="11A2CB5C" w14:textId="77777777" w:rsidTr="00BC646E">
        <w:tc>
          <w:tcPr>
            <w:tcW w:w="0" w:type="auto"/>
          </w:tcPr>
          <w:p w14:paraId="482E7CD9" w14:textId="77777777" w:rsidR="00DC6C27" w:rsidRPr="00E42854" w:rsidRDefault="00DC6C27" w:rsidP="00BC646E">
            <w:pPr>
              <w:rPr>
                <w:rFonts w:eastAsia="Times New Roman" w:cstheme="minorHAnsi"/>
                <w:color w:val="000000"/>
                <w:sz w:val="12"/>
                <w:szCs w:val="12"/>
                <w:lang w:eastAsia="en-GB"/>
              </w:rPr>
            </w:pPr>
          </w:p>
        </w:tc>
        <w:tc>
          <w:tcPr>
            <w:tcW w:w="0" w:type="auto"/>
          </w:tcPr>
          <w:p w14:paraId="3A786940" w14:textId="77777777" w:rsidR="00DC6C27" w:rsidRPr="00E42854" w:rsidRDefault="00DC6C27" w:rsidP="00BC646E">
            <w:pPr>
              <w:rPr>
                <w:rFonts w:eastAsia="Times New Roman" w:cstheme="minorHAnsi"/>
                <w:color w:val="000000"/>
                <w:sz w:val="12"/>
                <w:szCs w:val="12"/>
                <w:lang w:eastAsia="en-GB"/>
              </w:rPr>
            </w:pPr>
          </w:p>
        </w:tc>
        <w:tc>
          <w:tcPr>
            <w:tcW w:w="0" w:type="auto"/>
            <w:gridSpan w:val="3"/>
          </w:tcPr>
          <w:p w14:paraId="386A939E" w14:textId="77777777" w:rsidR="00DC6C27" w:rsidRPr="00E42854" w:rsidRDefault="00DC6C27" w:rsidP="00BC646E">
            <w:pPr>
              <w:jc w:val="center"/>
              <w:rPr>
                <w:rFonts w:eastAsia="Times New Roman" w:cstheme="minorHAnsi"/>
                <w:b/>
                <w:bCs/>
                <w:color w:val="000000"/>
                <w:sz w:val="16"/>
                <w:szCs w:val="16"/>
                <w:lang w:eastAsia="en-GB"/>
              </w:rPr>
            </w:pPr>
            <w:r w:rsidRPr="00E42854">
              <w:rPr>
                <w:rFonts w:eastAsia="Times New Roman" w:cstheme="minorHAnsi"/>
                <w:b/>
                <w:bCs/>
                <w:color w:val="000000"/>
                <w:sz w:val="16"/>
                <w:szCs w:val="16"/>
                <w:lang w:eastAsia="en-GB"/>
              </w:rPr>
              <w:t>Model 1 (Concave)</w:t>
            </w:r>
          </w:p>
        </w:tc>
        <w:tc>
          <w:tcPr>
            <w:tcW w:w="0" w:type="auto"/>
            <w:gridSpan w:val="3"/>
          </w:tcPr>
          <w:p w14:paraId="6BADE64B" w14:textId="77777777" w:rsidR="00DC6C27" w:rsidRPr="00E42854" w:rsidRDefault="00DC6C27" w:rsidP="00BC646E">
            <w:pPr>
              <w:jc w:val="center"/>
              <w:rPr>
                <w:rFonts w:eastAsia="Times New Roman" w:cstheme="minorHAnsi"/>
                <w:b/>
                <w:bCs/>
                <w:color w:val="000000"/>
                <w:sz w:val="16"/>
                <w:szCs w:val="16"/>
                <w:lang w:eastAsia="en-GB"/>
              </w:rPr>
            </w:pPr>
            <w:r w:rsidRPr="00E42854">
              <w:rPr>
                <w:rFonts w:eastAsia="Times New Roman" w:cstheme="minorHAnsi"/>
                <w:b/>
                <w:bCs/>
                <w:color w:val="000000"/>
                <w:sz w:val="16"/>
                <w:szCs w:val="16"/>
                <w:lang w:eastAsia="en-GB"/>
              </w:rPr>
              <w:t>Model 2 (Concave)</w:t>
            </w:r>
          </w:p>
        </w:tc>
        <w:tc>
          <w:tcPr>
            <w:tcW w:w="0" w:type="auto"/>
            <w:gridSpan w:val="3"/>
          </w:tcPr>
          <w:p w14:paraId="0968B98B" w14:textId="77777777" w:rsidR="00DC6C27" w:rsidRPr="00E42854" w:rsidRDefault="00DC6C27" w:rsidP="00BC646E">
            <w:pPr>
              <w:jc w:val="center"/>
              <w:rPr>
                <w:rFonts w:eastAsia="Times New Roman" w:cstheme="minorHAnsi"/>
                <w:b/>
                <w:bCs/>
                <w:color w:val="000000"/>
                <w:sz w:val="16"/>
                <w:szCs w:val="16"/>
                <w:lang w:eastAsia="en-GB"/>
              </w:rPr>
            </w:pPr>
            <w:r w:rsidRPr="00E42854">
              <w:rPr>
                <w:rFonts w:eastAsia="Times New Roman" w:cstheme="minorHAnsi"/>
                <w:b/>
                <w:bCs/>
                <w:color w:val="000000"/>
                <w:sz w:val="16"/>
                <w:szCs w:val="16"/>
                <w:lang w:eastAsia="en-GB"/>
              </w:rPr>
              <w:t>Model 3 (Convex)</w:t>
            </w:r>
          </w:p>
        </w:tc>
      </w:tr>
      <w:tr w:rsidR="00DC6C27" w:rsidRPr="00E42854" w14:paraId="68941C74" w14:textId="77777777" w:rsidTr="00BC646E">
        <w:tc>
          <w:tcPr>
            <w:tcW w:w="0" w:type="auto"/>
          </w:tcPr>
          <w:p w14:paraId="2D60554D" w14:textId="77777777" w:rsidR="00DC6C27" w:rsidRPr="00E42854" w:rsidRDefault="00DC6C27" w:rsidP="00BC646E">
            <w:pPr>
              <w:jc w:val="center"/>
              <w:rPr>
                <w:rFonts w:eastAsia="Times New Roman" w:cstheme="minorHAnsi"/>
                <w:color w:val="000000"/>
                <w:sz w:val="12"/>
                <w:szCs w:val="12"/>
                <w:lang w:eastAsia="en-GB"/>
              </w:rPr>
            </w:pPr>
          </w:p>
        </w:tc>
        <w:tc>
          <w:tcPr>
            <w:tcW w:w="0" w:type="auto"/>
          </w:tcPr>
          <w:p w14:paraId="63B52C62"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Item</w:t>
            </w:r>
          </w:p>
        </w:tc>
        <w:tc>
          <w:tcPr>
            <w:tcW w:w="0" w:type="auto"/>
          </w:tcPr>
          <w:p w14:paraId="38749B6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ΔMAE</w:t>
            </w:r>
          </w:p>
        </w:tc>
        <w:tc>
          <w:tcPr>
            <w:tcW w:w="0" w:type="auto"/>
          </w:tcPr>
          <w:p w14:paraId="6C7A4BD4"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ΔRMSE</w:t>
            </w:r>
          </w:p>
        </w:tc>
        <w:tc>
          <w:tcPr>
            <w:tcW w:w="0" w:type="auto"/>
          </w:tcPr>
          <w:p w14:paraId="2ABBF190" w14:textId="77777777" w:rsidR="00DC6C27" w:rsidRPr="00E42854" w:rsidRDefault="00DC6C27" w:rsidP="00BC646E">
            <w:pPr>
              <w:jc w:val="center"/>
              <w:rPr>
                <w:rFonts w:eastAsia="Times New Roman" w:cstheme="minorHAnsi"/>
                <w:color w:val="000000"/>
                <w:sz w:val="12"/>
                <w:szCs w:val="12"/>
                <w:vertAlign w:val="superscript"/>
                <w:lang w:eastAsia="en-GB"/>
              </w:rPr>
            </w:pPr>
            <w:r w:rsidRPr="00E42854">
              <w:rPr>
                <w:rFonts w:eastAsia="Times New Roman" w:cstheme="minorHAnsi"/>
                <w:color w:val="000000"/>
                <w:sz w:val="12"/>
                <w:szCs w:val="12"/>
                <w:lang w:eastAsia="en-GB"/>
              </w:rPr>
              <w:t>Q</w:t>
            </w:r>
            <w:r w:rsidRPr="00E42854">
              <w:rPr>
                <w:rFonts w:eastAsia="Times New Roman" w:cstheme="minorHAnsi"/>
                <w:color w:val="000000"/>
                <w:sz w:val="12"/>
                <w:szCs w:val="12"/>
                <w:vertAlign w:val="superscript"/>
                <w:lang w:eastAsia="en-GB"/>
              </w:rPr>
              <w:t>2</w:t>
            </w:r>
          </w:p>
        </w:tc>
        <w:tc>
          <w:tcPr>
            <w:tcW w:w="0" w:type="auto"/>
          </w:tcPr>
          <w:p w14:paraId="072EEA5F"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ΔMAE</w:t>
            </w:r>
          </w:p>
        </w:tc>
        <w:tc>
          <w:tcPr>
            <w:tcW w:w="0" w:type="auto"/>
          </w:tcPr>
          <w:p w14:paraId="2DE1F5CF"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ΔRMSE</w:t>
            </w:r>
          </w:p>
        </w:tc>
        <w:tc>
          <w:tcPr>
            <w:tcW w:w="0" w:type="auto"/>
          </w:tcPr>
          <w:p w14:paraId="509FE1F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Q</w:t>
            </w:r>
            <w:r w:rsidRPr="00E42854">
              <w:rPr>
                <w:rFonts w:eastAsia="Times New Roman" w:cstheme="minorHAnsi"/>
                <w:color w:val="000000"/>
                <w:sz w:val="12"/>
                <w:szCs w:val="12"/>
                <w:vertAlign w:val="superscript"/>
                <w:lang w:eastAsia="en-GB"/>
              </w:rPr>
              <w:t>2</w:t>
            </w:r>
          </w:p>
        </w:tc>
        <w:tc>
          <w:tcPr>
            <w:tcW w:w="0" w:type="auto"/>
          </w:tcPr>
          <w:p w14:paraId="20AD6DF2"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ΔMAE</w:t>
            </w:r>
          </w:p>
        </w:tc>
        <w:tc>
          <w:tcPr>
            <w:tcW w:w="0" w:type="auto"/>
          </w:tcPr>
          <w:p w14:paraId="385F97E2"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ΔRMSE</w:t>
            </w:r>
          </w:p>
        </w:tc>
        <w:tc>
          <w:tcPr>
            <w:tcW w:w="0" w:type="auto"/>
          </w:tcPr>
          <w:p w14:paraId="46529111"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Q</w:t>
            </w:r>
            <w:r w:rsidRPr="00E42854">
              <w:rPr>
                <w:rFonts w:eastAsia="Times New Roman" w:cstheme="minorHAnsi"/>
                <w:color w:val="000000"/>
                <w:sz w:val="12"/>
                <w:szCs w:val="12"/>
                <w:vertAlign w:val="superscript"/>
                <w:lang w:eastAsia="en-GB"/>
              </w:rPr>
              <w:t>2</w:t>
            </w:r>
          </w:p>
        </w:tc>
      </w:tr>
      <w:tr w:rsidR="00DC6C27" w:rsidRPr="00E42854" w14:paraId="062AE4FF" w14:textId="77777777" w:rsidTr="00BC646E">
        <w:tc>
          <w:tcPr>
            <w:tcW w:w="0" w:type="auto"/>
            <w:vMerge w:val="restart"/>
          </w:tcPr>
          <w:p w14:paraId="151481D5" w14:textId="77777777" w:rsidR="00DC6C27" w:rsidRPr="00E42854" w:rsidRDefault="00DC6C27" w:rsidP="00BC646E">
            <w:pPr>
              <w:pStyle w:val="NormalWeb"/>
              <w:rPr>
                <w:rFonts w:asciiTheme="minorHAnsi" w:hAnsiTheme="minorHAnsi" w:cstheme="minorHAnsi"/>
                <w:color w:val="000000"/>
                <w:sz w:val="12"/>
                <w:szCs w:val="12"/>
              </w:rPr>
            </w:pPr>
            <w:r w:rsidRPr="00E42854">
              <w:rPr>
                <w:rFonts w:asciiTheme="minorHAnsi" w:hAnsiTheme="minorHAnsi" w:cstheme="minorHAnsi"/>
                <w:color w:val="000000"/>
                <w:sz w:val="12"/>
                <w:szCs w:val="12"/>
              </w:rPr>
              <w:t>Social cohesion</w:t>
            </w:r>
          </w:p>
        </w:tc>
        <w:tc>
          <w:tcPr>
            <w:tcW w:w="0" w:type="auto"/>
          </w:tcPr>
          <w:p w14:paraId="4EC58D3D" w14:textId="77777777" w:rsidR="00DC6C27" w:rsidRPr="00E42854" w:rsidRDefault="00DC6C27" w:rsidP="00BC646E">
            <w:pPr>
              <w:pStyle w:val="NormalWeb"/>
              <w:rPr>
                <w:rFonts w:asciiTheme="minorHAnsi" w:hAnsiTheme="minorHAnsi" w:cstheme="minorHAnsi"/>
                <w:color w:val="000000"/>
                <w:sz w:val="12"/>
                <w:szCs w:val="12"/>
              </w:rPr>
            </w:pPr>
            <w:r w:rsidRPr="00E42854">
              <w:rPr>
                <w:rFonts w:asciiTheme="minorHAnsi" w:hAnsiTheme="minorHAnsi" w:cstheme="minorHAnsi"/>
                <w:color w:val="000000"/>
                <w:sz w:val="12"/>
                <w:szCs w:val="12"/>
              </w:rPr>
              <w:t>SC1: % of residents who say that local residents know each other</w:t>
            </w:r>
          </w:p>
        </w:tc>
        <w:tc>
          <w:tcPr>
            <w:tcW w:w="0" w:type="auto"/>
          </w:tcPr>
          <w:p w14:paraId="0BC8343B"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1A887176"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7F756DEA"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5706B719"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37AB151F"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39561456"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36570B6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445E0274"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c>
          <w:tcPr>
            <w:tcW w:w="0" w:type="auto"/>
          </w:tcPr>
          <w:p w14:paraId="6590FC46"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a</w:t>
            </w:r>
          </w:p>
        </w:tc>
      </w:tr>
      <w:tr w:rsidR="00DC6C27" w:rsidRPr="00E42854" w14:paraId="7A616CD4" w14:textId="77777777" w:rsidTr="00BC646E">
        <w:tc>
          <w:tcPr>
            <w:tcW w:w="0" w:type="auto"/>
            <w:vMerge/>
          </w:tcPr>
          <w:p w14:paraId="369FBCC4" w14:textId="77777777" w:rsidR="00DC6C27" w:rsidRPr="00E42854" w:rsidRDefault="00DC6C27" w:rsidP="00BC646E">
            <w:pPr>
              <w:pStyle w:val="NormalWeb"/>
              <w:rPr>
                <w:rFonts w:asciiTheme="minorHAnsi" w:hAnsiTheme="minorHAnsi" w:cstheme="minorHAnsi"/>
                <w:color w:val="000000"/>
                <w:sz w:val="12"/>
                <w:szCs w:val="12"/>
              </w:rPr>
            </w:pPr>
          </w:p>
        </w:tc>
        <w:tc>
          <w:tcPr>
            <w:tcW w:w="0" w:type="auto"/>
          </w:tcPr>
          <w:p w14:paraId="29197289" w14:textId="77777777" w:rsidR="00DC6C27" w:rsidRPr="00E42854" w:rsidRDefault="00DC6C27" w:rsidP="00BC646E">
            <w:pPr>
              <w:pStyle w:val="NormalWeb"/>
              <w:rPr>
                <w:rFonts w:asciiTheme="minorHAnsi" w:hAnsiTheme="minorHAnsi" w:cstheme="minorHAnsi"/>
                <w:color w:val="000000"/>
                <w:sz w:val="12"/>
                <w:szCs w:val="12"/>
              </w:rPr>
            </w:pPr>
            <w:r w:rsidRPr="00E42854">
              <w:rPr>
                <w:rFonts w:asciiTheme="minorHAnsi" w:hAnsiTheme="minorHAnsi" w:cstheme="minorHAnsi"/>
                <w:color w:val="000000"/>
                <w:sz w:val="12"/>
                <w:szCs w:val="12"/>
              </w:rPr>
              <w:t>SC2: % of residents who say that local residents spend a lot of time with each other</w:t>
            </w:r>
          </w:p>
        </w:tc>
        <w:tc>
          <w:tcPr>
            <w:tcW w:w="0" w:type="auto"/>
          </w:tcPr>
          <w:p w14:paraId="504BC89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065BF68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110D0AB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3C618D89"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057FA64D"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0D1B902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7576A44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638A0047"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4039899F"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r>
      <w:tr w:rsidR="00DC6C27" w:rsidRPr="00E42854" w14:paraId="56DD5DFF" w14:textId="77777777" w:rsidTr="00BC646E">
        <w:tc>
          <w:tcPr>
            <w:tcW w:w="0" w:type="auto"/>
            <w:vMerge/>
          </w:tcPr>
          <w:p w14:paraId="0698F994" w14:textId="77777777" w:rsidR="00DC6C27" w:rsidRPr="00E42854" w:rsidRDefault="00DC6C27" w:rsidP="00BC646E">
            <w:pPr>
              <w:rPr>
                <w:rFonts w:cstheme="minorHAnsi"/>
                <w:color w:val="000000"/>
                <w:sz w:val="12"/>
                <w:szCs w:val="12"/>
              </w:rPr>
            </w:pPr>
          </w:p>
        </w:tc>
        <w:tc>
          <w:tcPr>
            <w:tcW w:w="0" w:type="auto"/>
          </w:tcPr>
          <w:p w14:paraId="35AB6048" w14:textId="77777777" w:rsidR="00DC6C27" w:rsidRPr="00E42854" w:rsidRDefault="00DC6C27" w:rsidP="00BC646E">
            <w:pPr>
              <w:rPr>
                <w:rFonts w:cstheme="minorHAnsi"/>
                <w:color w:val="000000"/>
                <w:sz w:val="12"/>
                <w:szCs w:val="12"/>
              </w:rPr>
            </w:pPr>
            <w:r w:rsidRPr="00E42854">
              <w:rPr>
                <w:rFonts w:cstheme="minorHAnsi"/>
                <w:color w:val="000000"/>
                <w:sz w:val="12"/>
                <w:szCs w:val="12"/>
              </w:rPr>
              <w:t>SC3: % of residents who say that local residents share each other’s views</w:t>
            </w:r>
          </w:p>
        </w:tc>
        <w:tc>
          <w:tcPr>
            <w:tcW w:w="0" w:type="auto"/>
          </w:tcPr>
          <w:p w14:paraId="0A9988DF"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0.001</w:t>
            </w:r>
          </w:p>
        </w:tc>
        <w:tc>
          <w:tcPr>
            <w:tcW w:w="0" w:type="auto"/>
          </w:tcPr>
          <w:p w14:paraId="3F2476E7"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0.001</w:t>
            </w:r>
          </w:p>
        </w:tc>
        <w:tc>
          <w:tcPr>
            <w:tcW w:w="0" w:type="auto"/>
          </w:tcPr>
          <w:p w14:paraId="74F255FB"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0.184</w:t>
            </w:r>
          </w:p>
        </w:tc>
        <w:tc>
          <w:tcPr>
            <w:tcW w:w="0" w:type="auto"/>
          </w:tcPr>
          <w:p w14:paraId="0FD964C4"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-0.013</w:t>
            </w:r>
          </w:p>
        </w:tc>
        <w:tc>
          <w:tcPr>
            <w:tcW w:w="0" w:type="auto"/>
          </w:tcPr>
          <w:p w14:paraId="21FB59F1"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-0.022</w:t>
            </w:r>
          </w:p>
        </w:tc>
        <w:tc>
          <w:tcPr>
            <w:tcW w:w="0" w:type="auto"/>
          </w:tcPr>
          <w:p w14:paraId="42B648DE"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0.139</w:t>
            </w:r>
          </w:p>
        </w:tc>
        <w:tc>
          <w:tcPr>
            <w:tcW w:w="0" w:type="auto"/>
          </w:tcPr>
          <w:p w14:paraId="66165014"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010AEA88"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1AD42007"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r>
      <w:tr w:rsidR="00DC6C27" w:rsidRPr="00E42854" w14:paraId="2DC47577" w14:textId="77777777" w:rsidTr="00BC646E">
        <w:tc>
          <w:tcPr>
            <w:tcW w:w="0" w:type="auto"/>
            <w:vMerge/>
          </w:tcPr>
          <w:p w14:paraId="056BE07C" w14:textId="77777777" w:rsidR="00DC6C27" w:rsidRPr="00E42854" w:rsidRDefault="00DC6C27" w:rsidP="00BC646E">
            <w:pPr>
              <w:pStyle w:val="NormalWeb"/>
              <w:rPr>
                <w:rFonts w:asciiTheme="minorHAnsi" w:hAnsiTheme="minorHAnsi" w:cstheme="minorHAnsi"/>
                <w:color w:val="000000"/>
                <w:sz w:val="12"/>
                <w:szCs w:val="12"/>
              </w:rPr>
            </w:pPr>
          </w:p>
        </w:tc>
        <w:tc>
          <w:tcPr>
            <w:tcW w:w="0" w:type="auto"/>
          </w:tcPr>
          <w:p w14:paraId="168FB2F1" w14:textId="77777777" w:rsidR="00DC6C27" w:rsidRPr="00E42854" w:rsidRDefault="00DC6C27" w:rsidP="00BC646E">
            <w:pPr>
              <w:pStyle w:val="NormalWeb"/>
              <w:rPr>
                <w:rFonts w:asciiTheme="minorHAnsi" w:hAnsiTheme="minorHAnsi" w:cstheme="minorHAnsi"/>
                <w:color w:val="000000"/>
                <w:sz w:val="12"/>
                <w:szCs w:val="12"/>
              </w:rPr>
            </w:pPr>
            <w:r w:rsidRPr="00E42854">
              <w:rPr>
                <w:rFonts w:asciiTheme="minorHAnsi" w:hAnsiTheme="minorHAnsi" w:cstheme="minorHAnsi"/>
                <w:color w:val="000000"/>
                <w:sz w:val="12"/>
                <w:szCs w:val="12"/>
              </w:rPr>
              <w:t>SC4: % of residents who say that local residents help each other</w:t>
            </w:r>
          </w:p>
        </w:tc>
        <w:tc>
          <w:tcPr>
            <w:tcW w:w="0" w:type="auto"/>
          </w:tcPr>
          <w:p w14:paraId="21D07C61"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56404AE3"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7B85C266"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557FBE63"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20B7B53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42AF728B"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5FCA127D"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66343700"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7C2EE2EC"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r>
      <w:tr w:rsidR="00DC6C27" w:rsidRPr="00E42854" w14:paraId="0339F2F6" w14:textId="77777777" w:rsidTr="00BC646E">
        <w:tc>
          <w:tcPr>
            <w:tcW w:w="0" w:type="auto"/>
            <w:vMerge/>
          </w:tcPr>
          <w:p w14:paraId="64DB2846" w14:textId="77777777" w:rsidR="00DC6C27" w:rsidRPr="00E42854" w:rsidRDefault="00DC6C27" w:rsidP="00BC646E">
            <w:pPr>
              <w:pStyle w:val="NormalWeb"/>
              <w:rPr>
                <w:rFonts w:asciiTheme="minorHAnsi" w:hAnsiTheme="minorHAnsi" w:cstheme="minorHAnsi"/>
                <w:color w:val="000000"/>
                <w:sz w:val="12"/>
                <w:szCs w:val="12"/>
              </w:rPr>
            </w:pPr>
          </w:p>
        </w:tc>
        <w:tc>
          <w:tcPr>
            <w:tcW w:w="0" w:type="auto"/>
          </w:tcPr>
          <w:p w14:paraId="46A501A9" w14:textId="77777777" w:rsidR="00DC6C27" w:rsidRPr="00E42854" w:rsidRDefault="00DC6C27" w:rsidP="00BC646E">
            <w:pPr>
              <w:pStyle w:val="NormalWeb"/>
              <w:rPr>
                <w:rFonts w:asciiTheme="minorHAnsi" w:hAnsiTheme="minorHAnsi" w:cstheme="minorHAnsi"/>
                <w:color w:val="000000"/>
                <w:sz w:val="12"/>
                <w:szCs w:val="12"/>
              </w:rPr>
            </w:pPr>
            <w:r w:rsidRPr="00E42854">
              <w:rPr>
                <w:rFonts w:asciiTheme="minorHAnsi" w:hAnsiTheme="minorHAnsi" w:cstheme="minorHAnsi"/>
                <w:color w:val="000000"/>
                <w:sz w:val="12"/>
                <w:szCs w:val="12"/>
              </w:rPr>
              <w:t>SC5: % of residents who say they feel at home with local residents</w:t>
            </w:r>
          </w:p>
        </w:tc>
        <w:tc>
          <w:tcPr>
            <w:tcW w:w="0" w:type="auto"/>
          </w:tcPr>
          <w:p w14:paraId="433D9061"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2BD8A6DE"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31864D0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08457F67"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6D3549F0"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30626CE2"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NA</w:t>
            </w:r>
            <w:r w:rsidRPr="00E42854">
              <w:rPr>
                <w:rFonts w:eastAsia="Times New Roman" w:cstheme="minorHAnsi"/>
                <w:color w:val="000000"/>
                <w:sz w:val="12"/>
                <w:szCs w:val="12"/>
                <w:vertAlign w:val="superscript"/>
                <w:lang w:eastAsia="en-GB"/>
              </w:rPr>
              <w:t>b</w:t>
            </w:r>
          </w:p>
        </w:tc>
        <w:tc>
          <w:tcPr>
            <w:tcW w:w="0" w:type="auto"/>
          </w:tcPr>
          <w:p w14:paraId="4AF7D4C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-0.114</w:t>
            </w:r>
          </w:p>
        </w:tc>
        <w:tc>
          <w:tcPr>
            <w:tcW w:w="0" w:type="auto"/>
          </w:tcPr>
          <w:p w14:paraId="20AA6C06"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 xml:space="preserve">-0.126 </w:t>
            </w:r>
          </w:p>
        </w:tc>
        <w:tc>
          <w:tcPr>
            <w:tcW w:w="0" w:type="auto"/>
          </w:tcPr>
          <w:p w14:paraId="44FEEF95"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0.008</w:t>
            </w:r>
          </w:p>
        </w:tc>
      </w:tr>
      <w:tr w:rsidR="00DC6C27" w:rsidRPr="00E42854" w14:paraId="6D9B5C50" w14:textId="77777777" w:rsidTr="00BC646E">
        <w:tc>
          <w:tcPr>
            <w:tcW w:w="0" w:type="auto"/>
          </w:tcPr>
          <w:p w14:paraId="612A73F3"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Neighbourhood balance</w:t>
            </w:r>
          </w:p>
        </w:tc>
        <w:tc>
          <w:tcPr>
            <w:tcW w:w="0" w:type="auto"/>
          </w:tcPr>
          <w:p w14:paraId="34AF0E0B"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NB: Negative of the Kullback-Leibler divergence of the WOZ-value distribution in a neighbourhood with respect to the objective balance distribution</w:t>
            </w:r>
          </w:p>
        </w:tc>
        <w:tc>
          <w:tcPr>
            <w:tcW w:w="0" w:type="auto"/>
          </w:tcPr>
          <w:p w14:paraId="3ABA8188"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-0.046</w:t>
            </w:r>
          </w:p>
        </w:tc>
        <w:tc>
          <w:tcPr>
            <w:tcW w:w="0" w:type="auto"/>
          </w:tcPr>
          <w:p w14:paraId="20080777"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-0.069</w:t>
            </w:r>
          </w:p>
        </w:tc>
        <w:tc>
          <w:tcPr>
            <w:tcW w:w="0" w:type="auto"/>
          </w:tcPr>
          <w:p w14:paraId="6F131786"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-0.032</w:t>
            </w:r>
          </w:p>
        </w:tc>
        <w:tc>
          <w:tcPr>
            <w:tcW w:w="0" w:type="auto"/>
          </w:tcPr>
          <w:p w14:paraId="4A7A71D4"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-0.099</w:t>
            </w:r>
          </w:p>
        </w:tc>
        <w:tc>
          <w:tcPr>
            <w:tcW w:w="0" w:type="auto"/>
          </w:tcPr>
          <w:p w14:paraId="566DBF7C"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-0.152</w:t>
            </w:r>
          </w:p>
        </w:tc>
        <w:tc>
          <w:tcPr>
            <w:tcW w:w="0" w:type="auto"/>
          </w:tcPr>
          <w:p w14:paraId="4B57E059"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-0.043</w:t>
            </w:r>
          </w:p>
        </w:tc>
        <w:tc>
          <w:tcPr>
            <w:tcW w:w="0" w:type="auto"/>
          </w:tcPr>
          <w:p w14:paraId="05468A2E"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-0.117</w:t>
            </w:r>
          </w:p>
        </w:tc>
        <w:tc>
          <w:tcPr>
            <w:tcW w:w="0" w:type="auto"/>
          </w:tcPr>
          <w:p w14:paraId="7E2FC400" w14:textId="77777777" w:rsidR="00DC6C27" w:rsidRPr="00E42854" w:rsidRDefault="00DC6C27" w:rsidP="00BC646E">
            <w:pPr>
              <w:jc w:val="center"/>
              <w:rPr>
                <w:rFonts w:eastAsia="Times New Roman" w:cstheme="minorHAnsi"/>
                <w:color w:val="000000"/>
                <w:sz w:val="12"/>
                <w:szCs w:val="12"/>
                <w:lang w:eastAsia="en-GB"/>
              </w:rPr>
            </w:pPr>
            <w:r w:rsidRPr="00E42854">
              <w:rPr>
                <w:rFonts w:eastAsia="Times New Roman" w:cstheme="minorHAnsi"/>
                <w:color w:val="000000"/>
                <w:sz w:val="12"/>
                <w:szCs w:val="12"/>
                <w:lang w:eastAsia="en-GB"/>
              </w:rPr>
              <w:t>-0.145</w:t>
            </w:r>
          </w:p>
        </w:tc>
        <w:tc>
          <w:tcPr>
            <w:tcW w:w="0" w:type="auto"/>
          </w:tcPr>
          <w:p w14:paraId="097F242C"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-0.020</w:t>
            </w:r>
          </w:p>
        </w:tc>
      </w:tr>
      <w:tr w:rsidR="00DC6C27" w:rsidRPr="00E42854" w14:paraId="09C93F1E" w14:textId="77777777" w:rsidTr="00BC646E">
        <w:tc>
          <w:tcPr>
            <w:tcW w:w="0" w:type="auto"/>
            <w:gridSpan w:val="11"/>
          </w:tcPr>
          <w:p w14:paraId="7C3148F8" w14:textId="77777777" w:rsidR="00DC6C27" w:rsidRPr="00E42854" w:rsidRDefault="00DC6C27" w:rsidP="00BC646E">
            <w:pPr>
              <w:rPr>
                <w:rFonts w:eastAsia="Times New Roman" w:cstheme="minorHAnsi"/>
                <w:color w:val="000000"/>
                <w:sz w:val="12"/>
                <w:szCs w:val="12"/>
                <w:lang w:eastAsia="en-GB"/>
              </w:rPr>
            </w:pPr>
            <w:r w:rsidRPr="00E42854">
              <w:rPr>
                <w:rFonts w:eastAsia="Times New Roman" w:cstheme="minorHAnsi"/>
                <w:color w:val="000000"/>
                <w:sz w:val="12"/>
                <w:szCs w:val="12"/>
                <w:lang w:eastAsia="en-GB"/>
              </w:rPr>
              <w:t xml:space="preserve">a: Item dropped due to high multicollinearity; b: Item dropped due to insignificant weight. What is RMSE an MAE?, check the reference. </w:t>
            </w:r>
          </w:p>
        </w:tc>
      </w:tr>
    </w:tbl>
    <w:p w14:paraId="08872078" w14:textId="77777777" w:rsidR="00DC6C27" w:rsidRPr="00E42854" w:rsidRDefault="00DC6C27" w:rsidP="00DC6C27">
      <w:pPr>
        <w:jc w:val="both"/>
        <w:rPr>
          <w:color w:val="000000"/>
        </w:rPr>
      </w:pPr>
    </w:p>
    <w:p w14:paraId="605414FD" w14:textId="77777777" w:rsidR="00937C01" w:rsidRDefault="00937C01"/>
    <w:sectPr w:rsidR="00937C01" w:rsidSect="00DC6C27">
      <w:pgSz w:w="11906" w:h="16838"/>
      <w:pgMar w:top="1417" w:right="1417" w:bottom="1417" w:left="1417" w:header="708" w:footer="708"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C27"/>
    <w:rsid w:val="00144078"/>
    <w:rsid w:val="006612B3"/>
    <w:rsid w:val="00937C01"/>
    <w:rsid w:val="00DC6C2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AFC24"/>
  <w15:chartTrackingRefBased/>
  <w15:docId w15:val="{41522F55-6B03-462F-9B5E-1445BE120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6C27"/>
    <w:pPr>
      <w:spacing w:line="259" w:lineRule="auto"/>
    </w:pPr>
    <w:rPr>
      <w:rFonts w:eastAsiaTheme="minorEastAsia"/>
      <w:kern w:val="0"/>
      <w:sz w:val="22"/>
      <w:szCs w:val="22"/>
      <w:lang w:val="en-GB"/>
      <w14:ligatures w14:val="none"/>
    </w:rPr>
  </w:style>
  <w:style w:type="paragraph" w:styleId="Heading1">
    <w:name w:val="heading 1"/>
    <w:basedOn w:val="Normal"/>
    <w:next w:val="Normal"/>
    <w:link w:val="Heading1Char"/>
    <w:uiPriority w:val="9"/>
    <w:qFormat/>
    <w:rsid w:val="00DC6C2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unhideWhenUsed/>
    <w:qFormat/>
    <w:rsid w:val="00DC6C2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DC6C27"/>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DC6C27"/>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DC6C27"/>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DC6C27"/>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DC6C27"/>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DC6C27"/>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DC6C27"/>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6C2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C6C2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6C2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6C2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6C2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6C2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6C2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6C2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6C27"/>
    <w:rPr>
      <w:rFonts w:eastAsiaTheme="majorEastAsia" w:cstheme="majorBidi"/>
      <w:color w:val="272727" w:themeColor="text1" w:themeTint="D8"/>
    </w:rPr>
  </w:style>
  <w:style w:type="paragraph" w:styleId="Title">
    <w:name w:val="Title"/>
    <w:basedOn w:val="Normal"/>
    <w:next w:val="Normal"/>
    <w:link w:val="TitleChar"/>
    <w:uiPriority w:val="10"/>
    <w:qFormat/>
    <w:rsid w:val="00DC6C27"/>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DC6C2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6C27"/>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DC6C2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6C27"/>
    <w:pPr>
      <w:spacing w:before="160" w:line="278" w:lineRule="auto"/>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DC6C27"/>
    <w:rPr>
      <w:i/>
      <w:iCs/>
      <w:color w:val="404040" w:themeColor="text1" w:themeTint="BF"/>
    </w:rPr>
  </w:style>
  <w:style w:type="paragraph" w:styleId="ListParagraph">
    <w:name w:val="List Paragraph"/>
    <w:basedOn w:val="Normal"/>
    <w:uiPriority w:val="34"/>
    <w:qFormat/>
    <w:rsid w:val="00DC6C27"/>
    <w:pPr>
      <w:spacing w:line="278" w:lineRule="auto"/>
      <w:ind w:left="72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DC6C27"/>
    <w:rPr>
      <w:i/>
      <w:iCs/>
      <w:color w:val="0F4761" w:themeColor="accent1" w:themeShade="BF"/>
    </w:rPr>
  </w:style>
  <w:style w:type="paragraph" w:styleId="IntenseQuote">
    <w:name w:val="Intense Quote"/>
    <w:basedOn w:val="Normal"/>
    <w:next w:val="Normal"/>
    <w:link w:val="IntenseQuoteChar"/>
    <w:uiPriority w:val="30"/>
    <w:qFormat/>
    <w:rsid w:val="00DC6C2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DC6C27"/>
    <w:rPr>
      <w:i/>
      <w:iCs/>
      <w:color w:val="0F4761" w:themeColor="accent1" w:themeShade="BF"/>
    </w:rPr>
  </w:style>
  <w:style w:type="character" w:styleId="IntenseReference">
    <w:name w:val="Intense Reference"/>
    <w:basedOn w:val="DefaultParagraphFont"/>
    <w:uiPriority w:val="32"/>
    <w:qFormat/>
    <w:rsid w:val="00DC6C27"/>
    <w:rPr>
      <w:b/>
      <w:bCs/>
      <w:smallCaps/>
      <w:color w:val="0F4761" w:themeColor="accent1" w:themeShade="BF"/>
      <w:spacing w:val="5"/>
    </w:rPr>
  </w:style>
  <w:style w:type="paragraph" w:styleId="NoSpacing">
    <w:name w:val="No Spacing"/>
    <w:uiPriority w:val="1"/>
    <w:qFormat/>
    <w:rsid w:val="00DC6C27"/>
    <w:pPr>
      <w:spacing w:after="0" w:line="240" w:lineRule="auto"/>
    </w:pPr>
    <w:rPr>
      <w:rFonts w:eastAsiaTheme="minorEastAsia"/>
      <w:kern w:val="0"/>
      <w:sz w:val="22"/>
      <w:szCs w:val="22"/>
      <w:lang w:val="en-US"/>
      <w14:ligatures w14:val="none"/>
    </w:rPr>
  </w:style>
  <w:style w:type="paragraph" w:styleId="NormalWeb">
    <w:name w:val="Normal (Web)"/>
    <w:basedOn w:val="Normal"/>
    <w:uiPriority w:val="99"/>
    <w:unhideWhenUsed/>
    <w:rsid w:val="00DC6C27"/>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DC6C27"/>
    <w:pPr>
      <w:spacing w:after="0" w:line="240" w:lineRule="auto"/>
    </w:pPr>
    <w:rPr>
      <w:rFonts w:eastAsiaTheme="minorEastAsia"/>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ibliography">
    <w:name w:val="Bibliography"/>
    <w:basedOn w:val="Normal"/>
    <w:next w:val="Normal"/>
    <w:uiPriority w:val="37"/>
    <w:unhideWhenUsed/>
    <w:rsid w:val="00DC6C27"/>
    <w:pPr>
      <w:spacing w:after="0" w:line="48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851</Words>
  <Characters>4851</Characters>
  <Application>Microsoft Office Word</Application>
  <DocSecurity>0</DocSecurity>
  <Lines>40</Lines>
  <Paragraphs>11</Paragraphs>
  <ScaleCrop>false</ScaleCrop>
  <Company>Springer Nature</Company>
  <LinksUpToDate>false</LinksUpToDate>
  <CharactersWithSpaces>5691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2024-11-27T13:54:00Z</dcterms:created>
  <dcterms:modified xsi:type="dcterms:W3CDTF">2024-11-27T13:54:00Z</dcterms:modified>
</cp:coreProperties>
</file>