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26"/>
        <w:spacing w:before="204" w:line="189" w:lineRule="auto"/>
        <w:outlineLvl w:val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1"/>
        </w:rPr>
        <w:t>Supplementary Figures</w:t>
      </w:r>
    </w:p>
    <w:p>
      <w:pPr>
        <w:spacing w:line="376" w:lineRule="auto"/>
        <w:rPr>
          <w:rFonts w:ascii="Arial"/>
          <w:sz w:val="21"/>
        </w:rPr>
      </w:pPr>
      <w:r/>
    </w:p>
    <w:p>
      <w:pPr>
        <w:ind w:firstLine="14"/>
        <w:spacing w:line="6622" w:lineRule="exact"/>
        <w:rPr/>
      </w:pPr>
      <w:r>
        <w:rPr>
          <w:position w:val="-132"/>
        </w:rPr>
        <w:drawing>
          <wp:inline distT="0" distB="0" distL="0" distR="0">
            <wp:extent cx="5871971" cy="4204716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71971" cy="4204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9"/>
        <w:spacing w:before="197" w:line="18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4"/>
        </w:rPr>
        <w:t>Figure S1 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>KM curve results of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>LUAD patients with diff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>erent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>MQRGs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>expression.</w:t>
      </w:r>
    </w:p>
    <w:p>
      <w:pPr>
        <w:spacing w:line="189" w:lineRule="auto"/>
        <w:sectPr>
          <w:pgSz w:w="11906" w:h="16839"/>
          <w:pgMar w:top="1431" w:right="858" w:bottom="0" w:left="1785" w:header="0" w:footer="0" w:gutter="0"/>
        </w:sect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ind w:firstLine="14"/>
        <w:spacing w:before="135" w:line="4426" w:lineRule="exact"/>
        <w:rPr/>
      </w:pPr>
      <w:r>
        <w:rPr>
          <w:position w:val="-88"/>
        </w:rPr>
        <w:drawing>
          <wp:inline distT="0" distB="0" distL="0" distR="0">
            <wp:extent cx="5542788" cy="2810256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42788" cy="2810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17" w:right="425" w:firstLine="1"/>
        <w:spacing w:before="202" w:line="235" w:lineRule="auto"/>
        <w:rPr/>
      </w:pPr>
      <w:r>
        <w:rPr>
          <w:sz w:val="24"/>
          <w:szCs w:val="24"/>
          <w:b/>
          <w:bCs/>
        </w:rPr>
        <w:t>Figure</w:t>
      </w:r>
      <w:r>
        <w:rPr>
          <w:sz w:val="24"/>
          <w:szCs w:val="24"/>
          <w:b/>
          <w:bCs/>
          <w:spacing w:val="22"/>
          <w:w w:val="101"/>
        </w:rPr>
        <w:t xml:space="preserve">  </w:t>
      </w:r>
      <w:r>
        <w:rPr>
          <w:sz w:val="24"/>
          <w:szCs w:val="24"/>
          <w:b/>
          <w:bCs/>
        </w:rPr>
        <w:t>S</w:t>
      </w:r>
      <w:r>
        <w:rPr>
          <w:sz w:val="24"/>
          <w:szCs w:val="24"/>
          <w:b/>
          <w:bCs/>
          <w:spacing w:val="12"/>
        </w:rPr>
        <w:t>2  </w:t>
      </w:r>
      <w:r>
        <w:rPr/>
        <w:t>Consensus</w:t>
      </w:r>
      <w:r>
        <w:rPr>
          <w:spacing w:val="12"/>
        </w:rPr>
        <w:t xml:space="preserve">   </w:t>
      </w:r>
      <w:r>
        <w:rPr/>
        <w:t>matrix</w:t>
      </w:r>
      <w:r>
        <w:rPr>
          <w:spacing w:val="12"/>
        </w:rPr>
        <w:t xml:space="preserve">   </w:t>
      </w:r>
      <w:r>
        <w:rPr/>
        <w:t>heatmaps</w:t>
      </w:r>
      <w:r>
        <w:rPr>
          <w:spacing w:val="12"/>
        </w:rPr>
        <w:t xml:space="preserve">   </w:t>
      </w:r>
      <w:r>
        <w:rPr/>
        <w:t>and</w:t>
      </w:r>
      <w:r>
        <w:rPr>
          <w:spacing w:val="12"/>
        </w:rPr>
        <w:t xml:space="preserve">   </w:t>
      </w:r>
      <w:r>
        <w:rPr/>
        <w:t>unsupervised</w:t>
      </w:r>
      <w:r>
        <w:rPr>
          <w:spacing w:val="12"/>
        </w:rPr>
        <w:t xml:space="preserve">   </w:t>
      </w:r>
      <w:r>
        <w:rPr/>
        <w:t>clustering</w:t>
      </w:r>
      <w:r>
        <w:rPr>
          <w:spacing w:val="12"/>
        </w:rPr>
        <w:t xml:space="preserve"> </w:t>
      </w:r>
      <w:r>
        <w:rPr>
          <w:spacing w:val="11"/>
        </w:rPr>
        <w:t xml:space="preserve">  </w:t>
      </w:r>
      <w:r>
        <w:rPr/>
        <w:t>of</w:t>
      </w:r>
      <w:r>
        <w:rPr>
          <w:spacing w:val="17"/>
          <w:w w:val="101"/>
        </w:rPr>
        <w:t xml:space="preserve">  </w:t>
      </w:r>
      <w:r>
        <w:rPr/>
        <w:t>associated</w:t>
      </w:r>
      <w:r>
        <w:rPr>
          <w:spacing w:val="11"/>
        </w:rPr>
        <w:t xml:space="preserve">   </w:t>
      </w:r>
      <w:r>
        <w:rPr/>
        <w:t>with </w:t>
      </w:r>
      <w:r>
        <w:rPr/>
        <w:t>MQRGcluster</w:t>
      </w:r>
      <w:r>
        <w:rPr>
          <w:spacing w:val="13"/>
        </w:rPr>
        <w:t xml:space="preserve"> </w:t>
      </w:r>
      <w:r>
        <w:rPr/>
        <w:t>for</w:t>
      </w:r>
      <w:r>
        <w:rPr>
          <w:spacing w:val="13"/>
        </w:rPr>
        <w:t xml:space="preserve"> </w:t>
      </w:r>
      <w:r>
        <w:rPr/>
        <w:t>k</w:t>
      </w:r>
      <w:r>
        <w:rPr>
          <w:spacing w:val="13"/>
        </w:rPr>
        <w:t xml:space="preserve"> = 2</w:t>
      </w:r>
      <w:r>
        <w:rPr>
          <w:rFonts w:ascii="Cambria" w:hAnsi="Cambria" w:eastAsia="Cambria" w:cs="Cambria"/>
          <w:sz w:val="24"/>
          <w:szCs w:val="24"/>
          <w:spacing w:val="13"/>
        </w:rPr>
        <w:t>-</w:t>
      </w:r>
      <w:r>
        <w:rPr>
          <w:spacing w:val="13"/>
        </w:rPr>
        <w:t>9.</w:t>
      </w:r>
    </w:p>
    <w:p>
      <w:pPr>
        <w:spacing w:line="235" w:lineRule="auto"/>
        <w:sectPr>
          <w:pgSz w:w="11906" w:h="16839"/>
          <w:pgMar w:top="1431" w:right="1377" w:bottom="0" w:left="1785" w:header="0" w:footer="0" w:gutter="0"/>
        </w:sectPr>
        <w:rPr/>
      </w:pPr>
    </w:p>
    <w:p>
      <w:pPr>
        <w:ind w:firstLine="14"/>
        <w:spacing w:before="102" w:line="6362" w:lineRule="exact"/>
        <w:rPr/>
      </w:pPr>
      <w:r>
        <w:rPr>
          <w:position w:val="-127"/>
        </w:rPr>
        <w:drawing>
          <wp:inline distT="0" distB="0" distL="0" distR="0">
            <wp:extent cx="5265420" cy="4040123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5420" cy="4040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19"/>
        <w:spacing w:before="250" w:line="189" w:lineRule="auto"/>
        <w:rPr/>
      </w:pPr>
      <w:r>
        <w:rPr>
          <w:sz w:val="24"/>
          <w:szCs w:val="24"/>
          <w:b/>
          <w:bCs/>
          <w:spacing w:val="3"/>
        </w:rPr>
        <w:t>Figure S3 </w:t>
      </w:r>
      <w:r>
        <w:rPr>
          <w:spacing w:val="3"/>
        </w:rPr>
        <w:t>Two MQRG</w:t>
      </w:r>
      <w:r>
        <w:rPr>
          <w:spacing w:val="30"/>
          <w:w w:val="101"/>
        </w:rPr>
        <w:t xml:space="preserve"> </w:t>
      </w:r>
      <w:r>
        <w:rPr>
          <w:spacing w:val="3"/>
        </w:rPr>
        <w:t>subtypes</w:t>
      </w:r>
      <w:r>
        <w:rPr>
          <w:spacing w:val="16"/>
          <w:w w:val="101"/>
        </w:rPr>
        <w:t xml:space="preserve"> </w:t>
      </w:r>
      <w:r>
        <w:rPr>
          <w:spacing w:val="3"/>
        </w:rPr>
        <w:t>in the</w:t>
      </w:r>
      <w:r>
        <w:rPr>
          <w:spacing w:val="13"/>
        </w:rPr>
        <w:t xml:space="preserve"> </w:t>
      </w:r>
      <w:r>
        <w:rPr>
          <w:spacing w:val="3"/>
        </w:rPr>
        <w:t>LUAD</w:t>
      </w:r>
      <w:r>
        <w:rPr>
          <w:spacing w:val="17"/>
          <w:w w:val="101"/>
        </w:rPr>
        <w:t xml:space="preserve"> </w:t>
      </w:r>
      <w:r>
        <w:rPr>
          <w:spacing w:val="3"/>
        </w:rPr>
        <w:t>cohort</w:t>
      </w:r>
      <w:r>
        <w:rPr>
          <w:spacing w:val="8"/>
        </w:rPr>
        <w:t xml:space="preserve"> </w:t>
      </w:r>
      <w:r>
        <w:rPr>
          <w:spacing w:val="3"/>
        </w:rPr>
        <w:t>were</w:t>
      </w:r>
      <w:r>
        <w:rPr>
          <w:spacing w:val="14"/>
          <w:w w:val="101"/>
        </w:rPr>
        <w:t xml:space="preserve"> </w:t>
      </w:r>
      <w:r>
        <w:rPr>
          <w:spacing w:val="3"/>
        </w:rPr>
        <w:t>identified</w:t>
      </w:r>
      <w:r>
        <w:rPr>
          <w:spacing w:val="18"/>
          <w:w w:val="101"/>
        </w:rPr>
        <w:t xml:space="preserve"> </w:t>
      </w:r>
      <w:r>
        <w:rPr>
          <w:spacing w:val="3"/>
        </w:rPr>
        <w:t>as</w:t>
      </w:r>
      <w:r>
        <w:rPr>
          <w:spacing w:val="16"/>
          <w:w w:val="101"/>
        </w:rPr>
        <w:t xml:space="preserve"> </w:t>
      </w:r>
      <w:r>
        <w:rPr>
          <w:spacing w:val="3"/>
        </w:rPr>
        <w:t>gene</w:t>
      </w:r>
      <w:r>
        <w:rPr>
          <w:spacing w:val="19"/>
        </w:rPr>
        <w:t xml:space="preserve"> </w:t>
      </w:r>
      <w:r>
        <w:rPr>
          <w:spacing w:val="3"/>
        </w:rPr>
        <w:t>subtypes</w:t>
      </w:r>
      <w:r>
        <w:rPr>
          <w:spacing w:val="10"/>
        </w:rPr>
        <w:t xml:space="preserve"> </w:t>
      </w:r>
      <w:r>
        <w:rPr>
          <w:spacing w:val="3"/>
        </w:rPr>
        <w:t>based</w:t>
      </w:r>
      <w:r>
        <w:rPr>
          <w:spacing w:val="13"/>
        </w:rPr>
        <w:t xml:space="preserve"> </w:t>
      </w:r>
      <w:r>
        <w:rPr>
          <w:spacing w:val="3"/>
        </w:rPr>
        <w:t>on</w:t>
      </w:r>
    </w:p>
    <w:p>
      <w:pPr>
        <w:pStyle w:val="BodyText"/>
        <w:ind w:left="16" w:firstLine="1"/>
        <w:spacing w:before="260" w:line="447" w:lineRule="auto"/>
        <w:jc w:val="both"/>
        <w:rPr/>
      </w:pPr>
      <w:r>
        <w:rPr/>
        <w:t>DEGs</w:t>
      </w:r>
      <w:r>
        <w:rPr>
          <w:spacing w:val="9"/>
        </w:rPr>
        <w:t>.  (A)  660  </w:t>
      </w:r>
      <w:r>
        <w:rPr/>
        <w:t>MQRG</w:t>
      </w:r>
      <w:r>
        <w:rPr>
          <w:spacing w:val="9"/>
        </w:rPr>
        <w:t xml:space="preserve">  </w:t>
      </w:r>
      <w:r>
        <w:rPr/>
        <w:t>subtype</w:t>
      </w:r>
      <w:r>
        <w:rPr>
          <w:spacing w:val="9"/>
        </w:rPr>
        <w:t>-</w:t>
      </w:r>
      <w:r>
        <w:rPr/>
        <w:t>related</w:t>
      </w:r>
      <w:r>
        <w:rPr>
          <w:spacing w:val="9"/>
        </w:rPr>
        <w:t xml:space="preserve">  </w:t>
      </w:r>
      <w:r>
        <w:rPr/>
        <w:t>DEGs</w:t>
      </w:r>
      <w:r>
        <w:rPr>
          <w:spacing w:val="9"/>
        </w:rPr>
        <w:t>.  (B)  </w:t>
      </w:r>
      <w:r>
        <w:rPr/>
        <w:t>For</w:t>
      </w:r>
      <w:r>
        <w:rPr>
          <w:spacing w:val="6"/>
        </w:rPr>
        <w:t xml:space="preserve">  </w:t>
      </w:r>
      <w:r>
        <w:rPr/>
        <w:t>each</w:t>
      </w:r>
      <w:r>
        <w:rPr>
          <w:spacing w:val="9"/>
        </w:rPr>
        <w:t xml:space="preserve">  </w:t>
      </w:r>
      <w:r>
        <w:rPr/>
        <w:t>tested</w:t>
      </w:r>
      <w:r>
        <w:rPr>
          <w:spacing w:val="9"/>
        </w:rPr>
        <w:t xml:space="preserve">  </w:t>
      </w:r>
      <w:r>
        <w:rPr/>
        <w:t>k</w:t>
      </w:r>
      <w:r>
        <w:rPr>
          <w:spacing w:val="9"/>
        </w:rPr>
        <w:t>,  </w:t>
      </w:r>
      <w:r>
        <w:rPr/>
        <w:t>the</w:t>
      </w:r>
      <w:r>
        <w:rPr>
          <w:spacing w:val="6"/>
        </w:rPr>
        <w:t xml:space="preserve">  </w:t>
      </w:r>
      <w:r>
        <w:rPr/>
        <w:t>CDF</w:t>
      </w:r>
      <w:r>
        <w:rPr>
          <w:spacing w:val="6"/>
        </w:rPr>
        <w:t xml:space="preserve">  </w:t>
      </w:r>
      <w:r>
        <w:rPr/>
        <w:t>displays</w:t>
      </w:r>
      <w:r>
        <w:rPr>
          <w:spacing w:val="9"/>
        </w:rPr>
        <w:t xml:space="preserve">  </w:t>
      </w:r>
      <w:r>
        <w:rPr/>
        <w:t>the  </w:t>
      </w:r>
      <w:r>
        <w:rPr>
          <w:spacing w:val="4"/>
        </w:rPr>
        <w:t>cumulative</w:t>
      </w:r>
      <w:r>
        <w:rPr>
          <w:spacing w:val="15"/>
          <w:w w:val="101"/>
        </w:rPr>
        <w:t xml:space="preserve">  </w:t>
      </w:r>
      <w:r>
        <w:rPr>
          <w:spacing w:val="4"/>
        </w:rPr>
        <w:t>fraction</w:t>
      </w:r>
      <w:r>
        <w:rPr>
          <w:spacing w:val="15"/>
          <w:w w:val="101"/>
        </w:rPr>
        <w:t xml:space="preserve">  </w:t>
      </w:r>
      <w:r>
        <w:rPr>
          <w:spacing w:val="4"/>
        </w:rPr>
        <w:t>of  every</w:t>
      </w:r>
      <w:r>
        <w:rPr>
          <w:spacing w:val="17"/>
        </w:rPr>
        <w:t xml:space="preserve">  </w:t>
      </w:r>
      <w:r>
        <w:rPr>
          <w:spacing w:val="4"/>
        </w:rPr>
        <w:t>sample</w:t>
      </w:r>
      <w:r>
        <w:rPr>
          <w:spacing w:val="15"/>
        </w:rPr>
        <w:t xml:space="preserve">  </w:t>
      </w:r>
      <w:r>
        <w:rPr>
          <w:spacing w:val="4"/>
        </w:rPr>
        <w:t>co-clustering  at  </w:t>
      </w:r>
      <w:r>
        <w:rPr>
          <w:spacing w:val="3"/>
        </w:rPr>
        <w:t>the   specified  consensus</w:t>
      </w:r>
      <w:r>
        <w:rPr>
          <w:spacing w:val="13"/>
          <w:w w:val="101"/>
        </w:rPr>
        <w:t xml:space="preserve">  </w:t>
      </w:r>
      <w:r>
        <w:rPr>
          <w:spacing w:val="3"/>
        </w:rPr>
        <w:t>index</w:t>
      </w:r>
      <w:r>
        <w:rPr>
          <w:spacing w:val="15"/>
        </w:rPr>
        <w:t xml:space="preserve">  </w:t>
      </w:r>
      <w:r>
        <w:rPr>
          <w:spacing w:val="3"/>
        </w:rPr>
        <w:t>(1.0</w:t>
      </w:r>
      <w:r>
        <w:rPr>
          <w:spacing w:val="12"/>
        </w:rPr>
        <w:t xml:space="preserve">  </w:t>
      </w:r>
      <w:r>
        <w:rPr>
          <w:spacing w:val="3"/>
        </w:rPr>
        <w:t>=</w:t>
      </w:r>
      <w:r>
        <w:rPr/>
        <w:t xml:space="preserve">  </w:t>
      </w:r>
      <w:r>
        <w:rPr/>
        <w:t>co</w:t>
      </w:r>
      <w:r>
        <w:rPr>
          <w:spacing w:val="21"/>
        </w:rPr>
        <w:t>-</w:t>
      </w:r>
      <w:r>
        <w:rPr/>
        <w:t>clustered</w:t>
      </w:r>
      <w:r>
        <w:rPr>
          <w:spacing w:val="45"/>
          <w:w w:val="101"/>
        </w:rPr>
        <w:t xml:space="preserve"> </w:t>
      </w:r>
      <w:r>
        <w:rPr>
          <w:spacing w:val="21"/>
        </w:rPr>
        <w:t>100%</w:t>
      </w:r>
      <w:r>
        <w:rPr>
          <w:spacing w:val="20"/>
          <w:w w:val="101"/>
        </w:rPr>
        <w:t xml:space="preserve"> </w:t>
      </w:r>
      <w:r>
        <w:rPr/>
        <w:t>of</w:t>
      </w:r>
      <w:r>
        <w:rPr>
          <w:spacing w:val="21"/>
        </w:rPr>
        <w:t xml:space="preserve"> </w:t>
      </w:r>
      <w:r>
        <w:rPr/>
        <w:t>the</w:t>
      </w:r>
      <w:r>
        <w:rPr>
          <w:spacing w:val="18"/>
        </w:rPr>
        <w:t xml:space="preserve"> </w:t>
      </w:r>
      <w:r>
        <w:rPr/>
        <w:t>time</w:t>
      </w:r>
      <w:r>
        <w:rPr>
          <w:spacing w:val="21"/>
        </w:rPr>
        <w:t>).</w:t>
      </w:r>
      <w:r>
        <w:rPr>
          <w:spacing w:val="24"/>
        </w:rPr>
        <w:t xml:space="preserve"> </w:t>
      </w:r>
      <w:r>
        <w:rPr>
          <w:spacing w:val="21"/>
        </w:rPr>
        <w:t>(C)</w:t>
      </w:r>
      <w:r>
        <w:rPr>
          <w:spacing w:val="18"/>
          <w:w w:val="101"/>
        </w:rPr>
        <w:t xml:space="preserve"> </w:t>
      </w:r>
      <w:r>
        <w:rPr/>
        <w:t>The</w:t>
      </w:r>
      <w:r>
        <w:rPr>
          <w:spacing w:val="23"/>
        </w:rPr>
        <w:t xml:space="preserve"> </w:t>
      </w:r>
      <w:r>
        <w:rPr/>
        <w:t>consensus</w:t>
      </w:r>
      <w:r>
        <w:rPr>
          <w:spacing w:val="22"/>
        </w:rPr>
        <w:t xml:space="preserve"> </w:t>
      </w:r>
      <w:r>
        <w:rPr/>
        <w:t>clustering</w:t>
      </w:r>
      <w:r>
        <w:rPr>
          <w:spacing w:val="23"/>
        </w:rPr>
        <w:t xml:space="preserve"> </w:t>
      </w:r>
      <w:r>
        <w:rPr/>
        <w:t>delta</w:t>
      </w:r>
      <w:r>
        <w:rPr>
          <w:spacing w:val="23"/>
          <w:w w:val="101"/>
        </w:rPr>
        <w:t xml:space="preserve"> </w:t>
      </w:r>
      <w:r>
        <w:rPr/>
        <w:t>area</w:t>
      </w:r>
      <w:r>
        <w:rPr>
          <w:spacing w:val="20"/>
          <w:w w:val="101"/>
        </w:rPr>
        <w:t xml:space="preserve"> </w:t>
      </w:r>
      <w:r>
        <w:rPr/>
        <w:t>curve</w:t>
      </w:r>
      <w:r>
        <w:rPr>
          <w:spacing w:val="21"/>
        </w:rPr>
        <w:t>,</w:t>
      </w:r>
      <w:r>
        <w:rPr>
          <w:spacing w:val="16"/>
          <w:w w:val="101"/>
        </w:rPr>
        <w:t xml:space="preserve"> </w:t>
      </w:r>
      <w:r>
        <w:rPr/>
        <w:t>which</w:t>
      </w:r>
      <w:r>
        <w:rPr>
          <w:spacing w:val="26"/>
        </w:rPr>
        <w:t xml:space="preserve"> </w:t>
      </w:r>
      <w:r>
        <w:rPr/>
        <w:t>shows</w:t>
      </w:r>
      <w:r>
        <w:rPr>
          <w:spacing w:val="16"/>
          <w:w w:val="101"/>
        </w:rPr>
        <w:t xml:space="preserve"> </w:t>
      </w:r>
      <w:r>
        <w:rPr/>
        <w:t>how  </w:t>
      </w:r>
      <w:r>
        <w:rPr>
          <w:spacing w:val="4"/>
        </w:rPr>
        <w:t>the</w:t>
      </w:r>
      <w:r>
        <w:rPr>
          <w:spacing w:val="18"/>
          <w:w w:val="101"/>
        </w:rPr>
        <w:t xml:space="preserve"> </w:t>
      </w:r>
      <w:r>
        <w:rPr>
          <w:spacing w:val="4"/>
        </w:rPr>
        <w:t>area under the</w:t>
      </w:r>
      <w:r>
        <w:rPr>
          <w:spacing w:val="16"/>
        </w:rPr>
        <w:t xml:space="preserve"> </w:t>
      </w:r>
      <w:r>
        <w:rPr>
          <w:spacing w:val="4"/>
        </w:rPr>
        <w:t>CDF</w:t>
      </w:r>
      <w:r>
        <w:rPr>
          <w:spacing w:val="18"/>
          <w:w w:val="101"/>
        </w:rPr>
        <w:t xml:space="preserve"> </w:t>
      </w:r>
      <w:r>
        <w:rPr>
          <w:spacing w:val="4"/>
        </w:rPr>
        <w:t>curve</w:t>
      </w:r>
      <w:r>
        <w:rPr>
          <w:spacing w:val="21"/>
        </w:rPr>
        <w:t xml:space="preserve"> </w:t>
      </w:r>
      <w:r>
        <w:rPr>
          <w:spacing w:val="4"/>
        </w:rPr>
        <w:t>changes relative to k</w:t>
      </w:r>
      <w:r>
        <w:rPr>
          <w:spacing w:val="11"/>
        </w:rPr>
        <w:t xml:space="preserve">  </w:t>
      </w:r>
      <w:r>
        <w:rPr>
          <w:rFonts w:ascii="Cambria" w:hAnsi="Cambria" w:eastAsia="Cambria" w:cs="Cambria"/>
          <w:sz w:val="24"/>
          <w:szCs w:val="24"/>
          <w:spacing w:val="4"/>
        </w:rPr>
        <w:t>-   </w:t>
      </w:r>
      <w:r>
        <w:rPr>
          <w:spacing w:val="4"/>
        </w:rPr>
        <w:t>1</w:t>
      </w:r>
      <w:r>
        <w:rPr>
          <w:spacing w:val="18"/>
        </w:rPr>
        <w:t xml:space="preserve"> </w:t>
      </w:r>
      <w:r>
        <w:rPr>
          <w:spacing w:val="4"/>
        </w:rPr>
        <w:t>for</w:t>
      </w:r>
      <w:r>
        <w:rPr>
          <w:spacing w:val="18"/>
          <w:w w:val="101"/>
        </w:rPr>
        <w:t xml:space="preserve"> </w:t>
      </w:r>
      <w:r>
        <w:rPr>
          <w:spacing w:val="4"/>
        </w:rPr>
        <w:t>eac</w:t>
      </w:r>
      <w:r>
        <w:rPr>
          <w:spacing w:val="3"/>
        </w:rPr>
        <w:t>h</w:t>
      </w:r>
      <w:r>
        <w:rPr>
          <w:spacing w:val="16"/>
        </w:rPr>
        <w:t xml:space="preserve"> </w:t>
      </w:r>
      <w:r>
        <w:rPr>
          <w:spacing w:val="3"/>
        </w:rPr>
        <w:t>category number k.</w:t>
      </w:r>
      <w:r>
        <w:rPr>
          <w:spacing w:val="14"/>
          <w:w w:val="101"/>
        </w:rPr>
        <w:t xml:space="preserve"> </w:t>
      </w:r>
      <w:r>
        <w:rPr>
          <w:spacing w:val="3"/>
        </w:rPr>
        <w:t>The</w:t>
      </w:r>
      <w:r>
        <w:rPr>
          <w:spacing w:val="12"/>
          <w:w w:val="101"/>
        </w:rPr>
        <w:t xml:space="preserve"> </w:t>
      </w:r>
      <w:r>
        <w:rPr>
          <w:spacing w:val="3"/>
        </w:rPr>
        <w:t>vertical</w:t>
      </w:r>
      <w:r>
        <w:rPr/>
        <w:t xml:space="preserve">  </w:t>
      </w:r>
      <w:r>
        <w:rPr>
          <w:spacing w:val="4"/>
        </w:rPr>
        <w:t>axis</w:t>
      </w:r>
      <w:r>
        <w:rPr>
          <w:spacing w:val="20"/>
          <w:w w:val="101"/>
        </w:rPr>
        <w:t xml:space="preserve"> </w:t>
      </w:r>
      <w:r>
        <w:rPr>
          <w:spacing w:val="4"/>
        </w:rPr>
        <w:t>shows the relative</w:t>
      </w:r>
      <w:r>
        <w:rPr>
          <w:spacing w:val="16"/>
        </w:rPr>
        <w:t xml:space="preserve"> </w:t>
      </w:r>
      <w:r>
        <w:rPr>
          <w:spacing w:val="4"/>
        </w:rPr>
        <w:t>change</w:t>
      </w:r>
      <w:r>
        <w:rPr>
          <w:spacing w:val="17"/>
        </w:rPr>
        <w:t xml:space="preserve"> </w:t>
      </w:r>
      <w:r>
        <w:rPr>
          <w:spacing w:val="4"/>
        </w:rPr>
        <w:t>in the</w:t>
      </w:r>
      <w:r>
        <w:rPr>
          <w:spacing w:val="16"/>
        </w:rPr>
        <w:t xml:space="preserve"> </w:t>
      </w:r>
      <w:r>
        <w:rPr>
          <w:spacing w:val="4"/>
        </w:rPr>
        <w:t>area under the</w:t>
      </w:r>
      <w:r>
        <w:rPr>
          <w:spacing w:val="16"/>
          <w:w w:val="101"/>
        </w:rPr>
        <w:t xml:space="preserve"> </w:t>
      </w:r>
      <w:r>
        <w:rPr>
          <w:spacing w:val="4"/>
        </w:rPr>
        <w:t>C</w:t>
      </w:r>
      <w:r>
        <w:rPr>
          <w:spacing w:val="3"/>
        </w:rPr>
        <w:t>DF</w:t>
      </w:r>
      <w:r>
        <w:rPr>
          <w:spacing w:val="18"/>
          <w:w w:val="101"/>
        </w:rPr>
        <w:t xml:space="preserve"> </w:t>
      </w:r>
      <w:r>
        <w:rPr>
          <w:spacing w:val="3"/>
        </w:rPr>
        <w:t>curve, while</w:t>
      </w:r>
      <w:r>
        <w:rPr>
          <w:spacing w:val="13"/>
        </w:rPr>
        <w:t xml:space="preserve"> </w:t>
      </w:r>
      <w:r>
        <w:rPr>
          <w:spacing w:val="3"/>
        </w:rPr>
        <w:t>the</w:t>
      </w:r>
      <w:r>
        <w:rPr>
          <w:spacing w:val="10"/>
        </w:rPr>
        <w:t xml:space="preserve"> </w:t>
      </w:r>
      <w:r>
        <w:rPr>
          <w:spacing w:val="3"/>
        </w:rPr>
        <w:t>horizontal</w:t>
      </w:r>
      <w:r>
        <w:rPr>
          <w:spacing w:val="17"/>
        </w:rPr>
        <w:t xml:space="preserve"> </w:t>
      </w:r>
      <w:r>
        <w:rPr>
          <w:spacing w:val="3"/>
        </w:rPr>
        <w:t>axis</w:t>
      </w:r>
      <w:r>
        <w:rPr>
          <w:spacing w:val="17"/>
          <w:w w:val="101"/>
        </w:rPr>
        <w:t xml:space="preserve"> </w:t>
      </w:r>
      <w:r>
        <w:rPr>
          <w:spacing w:val="3"/>
        </w:rPr>
        <w:t>displays</w:t>
      </w:r>
      <w:r>
        <w:rPr/>
        <w:t xml:space="preserve">  </w:t>
      </w:r>
      <w:r>
        <w:rPr/>
        <w:t>the</w:t>
      </w:r>
      <w:r>
        <w:rPr>
          <w:spacing w:val="11"/>
        </w:rPr>
        <w:t xml:space="preserve">  </w:t>
      </w:r>
      <w:r>
        <w:rPr/>
        <w:t>category</w:t>
      </w:r>
      <w:r>
        <w:rPr>
          <w:spacing w:val="1"/>
        </w:rPr>
        <w:t xml:space="preserve">  </w:t>
      </w:r>
      <w:r>
        <w:rPr/>
        <w:t>number</w:t>
      </w:r>
      <w:r>
        <w:rPr>
          <w:spacing w:val="1"/>
        </w:rPr>
        <w:t xml:space="preserve">  </w:t>
      </w:r>
      <w:r>
        <w:rPr/>
        <w:t>k</w:t>
      </w:r>
      <w:r>
        <w:rPr>
          <w:spacing w:val="11"/>
        </w:rPr>
        <w:t>.  (D)  </w:t>
      </w:r>
      <w:r>
        <w:rPr/>
        <w:t>Tracking</w:t>
      </w:r>
      <w:r>
        <w:rPr>
          <w:spacing w:val="11"/>
        </w:rPr>
        <w:t xml:space="preserve">  </w:t>
      </w:r>
      <w:r>
        <w:rPr/>
        <w:t>plot</w:t>
      </w:r>
      <w:r>
        <w:rPr>
          <w:spacing w:val="11"/>
        </w:rPr>
        <w:t>.  (E)  </w:t>
      </w:r>
      <w:r>
        <w:rPr/>
        <w:t>Consensus</w:t>
      </w:r>
      <w:r>
        <w:rPr>
          <w:spacing w:val="11"/>
        </w:rPr>
        <w:t xml:space="preserve">  </w:t>
      </w:r>
      <w:r>
        <w:rPr/>
        <w:t>matrix</w:t>
      </w:r>
      <w:r>
        <w:rPr>
          <w:spacing w:val="11"/>
        </w:rPr>
        <w:t xml:space="preserve">  </w:t>
      </w:r>
      <w:r>
        <w:rPr/>
        <w:t>heatmaps</w:t>
      </w:r>
      <w:r>
        <w:rPr>
          <w:spacing w:val="11"/>
        </w:rPr>
        <w:t xml:space="preserve">  </w:t>
      </w:r>
      <w:r>
        <w:rPr/>
        <w:t>and</w:t>
      </w:r>
      <w:r>
        <w:rPr>
          <w:spacing w:val="11"/>
        </w:rPr>
        <w:t xml:space="preserve">  </w:t>
      </w:r>
      <w:r>
        <w:rPr/>
        <w:t>unsupervised  </w:t>
      </w:r>
      <w:r>
        <w:rPr>
          <w:spacing w:val="5"/>
        </w:rPr>
        <w:t>clustering of</w:t>
      </w:r>
      <w:r>
        <w:rPr>
          <w:spacing w:val="-8"/>
        </w:rPr>
        <w:t xml:space="preserve"> </w:t>
      </w:r>
      <w:r>
        <w:rPr>
          <w:spacing w:val="5"/>
        </w:rPr>
        <w:t>associated with MQRG genecluster for k = 2</w:t>
      </w:r>
      <w:r>
        <w:rPr>
          <w:rFonts w:ascii="Cambria" w:hAnsi="Cambria" w:eastAsia="Cambria" w:cs="Cambria"/>
          <w:sz w:val="24"/>
          <w:szCs w:val="24"/>
          <w:spacing w:val="5"/>
        </w:rPr>
        <w:t>-</w:t>
      </w:r>
      <w:r>
        <w:rPr>
          <w:spacing w:val="5"/>
        </w:rPr>
        <w:t>9.DEGs,</w:t>
      </w:r>
      <w:r>
        <w:rPr>
          <w:spacing w:val="12"/>
          <w:w w:val="101"/>
        </w:rPr>
        <w:t xml:space="preserve"> </w:t>
      </w:r>
      <w:r>
        <w:rPr>
          <w:spacing w:val="4"/>
        </w:rPr>
        <w:t>differentially</w:t>
      </w:r>
      <w:r>
        <w:rPr>
          <w:spacing w:val="11"/>
        </w:rPr>
        <w:t xml:space="preserve"> </w:t>
      </w:r>
      <w:r>
        <w:rPr>
          <w:spacing w:val="4"/>
        </w:rPr>
        <w:t>expressed</w:t>
      </w:r>
      <w:r>
        <w:rPr>
          <w:spacing w:val="10"/>
        </w:rPr>
        <w:t xml:space="preserve"> </w:t>
      </w:r>
      <w:r>
        <w:rPr>
          <w:spacing w:val="4"/>
        </w:rPr>
        <w:t>genes;</w:t>
      </w:r>
      <w:r>
        <w:rPr/>
        <w:t xml:space="preserve"> </w:t>
      </w:r>
      <w:r>
        <w:rPr>
          <w:spacing w:val="4"/>
        </w:rPr>
        <w:t>CDF, cumulative distri</w:t>
      </w:r>
      <w:r>
        <w:rPr>
          <w:spacing w:val="3"/>
        </w:rPr>
        <w:t>bution function.</w:t>
      </w:r>
    </w:p>
    <w:p>
      <w:pPr>
        <w:spacing w:line="447" w:lineRule="auto"/>
        <w:sectPr>
          <w:pgSz w:w="11906" w:h="16839"/>
          <w:pgMar w:top="1431" w:right="1744" w:bottom="0" w:left="1785" w:header="0" w:footer="0" w:gutter="0"/>
        </w:sectPr>
        <w:rPr/>
      </w:pPr>
    </w:p>
    <w:p>
      <w:pPr>
        <w:ind w:left="132"/>
        <w:spacing w:before="47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Table</w:t>
      </w:r>
      <w:r>
        <w:rPr>
          <w:rFonts w:ascii="SimSun" w:hAnsi="SimSun" w:eastAsia="SimSun" w:cs="SimSun"/>
          <w:sz w:val="24"/>
          <w:szCs w:val="24"/>
          <w:spacing w:val="1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2"/>
        </w:rPr>
        <w:t>S1</w:t>
      </w:r>
    </w:p>
    <w:p>
      <w:pPr>
        <w:spacing w:line="196" w:lineRule="exact"/>
        <w:rPr/>
      </w:pPr>
      <w:r/>
    </w:p>
    <w:tbl>
      <w:tblPr>
        <w:tblStyle w:val="TableNormal"/>
        <w:tblW w:w="9340" w:type="dxa"/>
        <w:tblInd w:w="7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083"/>
        <w:gridCol w:w="8257"/>
      </w:tblGrid>
      <w:tr>
        <w:trPr>
          <w:trHeight w:val="262" w:hRule="atLeast"/>
        </w:trPr>
        <w:tc>
          <w:tcPr>
            <w:tcW w:w="1083" w:type="dxa"/>
            <w:vAlign w:val="top"/>
          </w:tcPr>
          <w:p>
            <w:pPr>
              <w:ind w:left="326"/>
              <w:spacing w:before="35" w:line="18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Type</w:t>
            </w:r>
          </w:p>
        </w:tc>
        <w:tc>
          <w:tcPr>
            <w:tcW w:w="8257" w:type="dxa"/>
            <w:vAlign w:val="top"/>
          </w:tcPr>
          <w:p>
            <w:pPr>
              <w:ind w:left="3907"/>
              <w:spacing w:before="69" w:line="182" w:lineRule="exac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1"/>
                <w:position w:val="-1"/>
              </w:rPr>
              <w:t>MQRG</w:t>
            </w:r>
          </w:p>
        </w:tc>
      </w:tr>
      <w:tr>
        <w:trPr>
          <w:trHeight w:val="770" w:hRule="atLeast"/>
        </w:trPr>
        <w:tc>
          <w:tcPr>
            <w:tcW w:w="1083" w:type="dxa"/>
            <w:vAlign w:val="top"/>
          </w:tcPr>
          <w:p>
            <w:pPr>
              <w:ind w:left="326"/>
              <w:spacing w:before="285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Gene</w:t>
            </w:r>
          </w:p>
        </w:tc>
        <w:tc>
          <w:tcPr>
            <w:tcW w:w="8257" w:type="dxa"/>
            <w:vAlign w:val="top"/>
          </w:tcPr>
          <w:p>
            <w:pPr>
              <w:ind w:left="334" w:right="101" w:hanging="218"/>
              <w:spacing w:before="184" w:line="20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PPARGC1A, PPARA, PPARG, NRF1, NFE2L2, TFAM, ESRRA, MFN1, MFN2, OP</w:t>
            </w: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A1, MFF,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</w:rPr>
              <w:t>FIS1, MIEF2, MIEF1, PINK1, PRKN, SQSTM1, MAP1LC3A, MAP1LC3B, MA</w:t>
            </w:r>
            <w:r>
              <w:rPr>
                <w:rFonts w:ascii="SimSun" w:hAnsi="SimSun" w:eastAsia="SimSun" w:cs="SimSun"/>
                <w:sz w:val="22"/>
                <w:szCs w:val="22"/>
                <w:spacing w:val="-1"/>
              </w:rPr>
              <w:t>P1LC3C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05" w:h="16837"/>
      <w:pgMar w:top="874" w:right="1479" w:bottom="0" w:left="107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settings" Target="settings.xml"/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2024-09-28T21:38:00Z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2024-10-20T23:32:47</vt:filetime>
  </property>
</Properties>
</file>